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4"/>
        </w:rPr>
        <w:t>Docker Volumes &amp; Production Guide</w:t>
      </w:r>
    </w:p>
    <w:p>
      <w:pPr>
        <w:spacing w:after="480"/>
        <w:jc w:val="center"/>
      </w:pPr>
      <w:r>
        <w:rPr>
          <w:i/>
          <w:color w:val="7F7F7F"/>
          <w:sz w:val="24"/>
        </w:rPr>
        <w:t>Spring Boot Deployment and Data Persistence Workflows</w:t>
      </w:r>
    </w:p>
    <w:p>
      <w:pPr>
        <w:keepNext/>
        <w:spacing w:before="360" w:after="120"/>
      </w:pPr>
      <w:r>
        <w:rPr>
          <w:rFonts w:ascii="Arial" w:hAnsi="Arial"/>
          <w:b/>
          <w:color w:val="1F4E79"/>
          <w:sz w:val="32"/>
        </w:rPr>
        <w:t>1. Understanding Container Data Persistence</w:t>
      </w:r>
    </w:p>
    <w:p>
      <w:pPr>
        <w:spacing w:after="120" w:line="276" w:lineRule="auto"/>
      </w:pPr>
      <w:r>
        <w:t>By default, container filesystems are completely ephemeral (stateless). Any data generated, modified, or written inside a container lifecycle is bound natively to its operational window. When the container crashes, is deleted, or is updated to a newer container image, its entire writeable storage layer is irrevocably lost.</w:t>
      </w:r>
    </w:p>
    <w:p>
      <w:pPr>
        <w:spacing w:after="120" w:line="276" w:lineRule="auto"/>
      </w:pPr>
      <w:r>
        <w:t>To prevent data loss for persistent workloads—such as user-uploaded files, application logs, or active relational databases—Docker introduces detached mechanisms to decouple data layers from the container lifecycle. This guide outlines how to inspect named volumes and utilize bind mounts effectively.</w:t>
      </w:r>
    </w:p>
    <w:p>
      <w:pPr>
        <w:keepNext/>
        <w:spacing w:before="360" w:after="120"/>
      </w:pPr>
      <w:r>
        <w:rPr>
          <w:rFonts w:ascii="Arial" w:hAnsi="Arial"/>
          <w:b/>
          <w:color w:val="1F4E79"/>
          <w:sz w:val="32"/>
        </w:rPr>
        <w:t>2. Verifying and Inspecting Named Volumes</w:t>
      </w:r>
    </w:p>
    <w:p>
      <w:pPr>
        <w:spacing w:after="120" w:line="276" w:lineRule="auto"/>
      </w:pPr>
      <w:r>
        <w:t>Named Volumes represent the production-standard approach for container data preservation. They are completely provisioned and structurally managed inside isolated segments of the host server file infrastructure.</w:t>
      </w:r>
    </w:p>
    <w:p>
      <w:pPr>
        <w:keepNext/>
        <w:spacing w:before="240" w:after="80"/>
      </w:pPr>
      <w:r>
        <w:rPr>
          <w:rFonts w:ascii="Arial" w:hAnsi="Arial"/>
          <w:b/>
          <w:color w:val="1F4E79"/>
          <w:sz w:val="26"/>
        </w:rPr>
        <w:t>Command Execution Sequence:</w:t>
      </w:r>
    </w:p>
    <w:p>
      <w:pPr>
        <w:spacing w:after="120" w:line="276" w:lineRule="auto"/>
      </w:pPr>
      <w:r>
        <w:t>To initialize a dedicated storage bucket on your host engine, deploy:</w:t>
      </w:r>
    </w:p>
    <w:p>
      <w:pPr>
        <w:spacing w:before="80" w:after="80"/>
        <w:ind w:left="360"/>
        <w:shd w:fill="F2F2F2"/>
      </w:pPr>
      <w:r>
        <w:rPr>
          <w:rFonts w:ascii="Consolas" w:hAnsi="Consolas"/>
          <w:sz w:val="20"/>
        </w:rPr>
        <w:t>docker volume create spring_uploads</w:t>
      </w:r>
    </w:p>
    <w:p>
      <w:pPr>
        <w:spacing w:after="120" w:line="276" w:lineRule="auto"/>
      </w:pPr>
      <w:r>
        <w:t>To evaluate runtime attributes and extract metadata details about where this volume physically lives, execute:</w:t>
      </w:r>
    </w:p>
    <w:p>
      <w:pPr>
        <w:spacing w:before="80" w:after="80"/>
        <w:ind w:left="360"/>
        <w:shd w:fill="F2F2F2"/>
      </w:pPr>
      <w:r>
        <w:rPr>
          <w:rFonts w:ascii="Consolas" w:hAnsi="Consolas"/>
          <w:sz w:val="20"/>
        </w:rPr>
        <w:t>docker volume inspect spring_uploads</w:t>
      </w:r>
    </w:p>
    <w:p>
      <w:pPr>
        <w:keepNext/>
        <w:spacing w:before="240" w:after="80"/>
      </w:pPr>
      <w:r>
        <w:rPr>
          <w:rFonts w:ascii="Arial" w:hAnsi="Arial"/>
          <w:b/>
          <w:color w:val="1F4E79"/>
          <w:sz w:val="26"/>
        </w:rPr>
        <w:t>Metadata Inspection Matrix Breakdown:</w:t>
      </w:r>
    </w:p>
    <w:p>
      <w:pPr>
        <w:spacing w:after="120" w:line="276" w:lineRule="auto"/>
      </w:pPr>
      <w:r>
        <w:t>The engine yields a structural JSON response containing critical runtime variables:</w:t>
      </w:r>
    </w:p>
    <w:p>
      <w:pPr>
        <w:pStyle w:val="ListBullet"/>
        <w:spacing w:after="60" w:line="276" w:lineRule="auto"/>
      </w:pPr>
      <w:r>
        <w:rPr>
          <w:b/>
        </w:rPr>
        <w:t xml:space="preserve">CreatedAt: </w:t>
      </w:r>
      <w:r>
        <w:t xml:space="preserve"> The absolute calendar timestamp marking the structural definition initialization.</w:t>
      </w:r>
    </w:p>
    <w:p>
      <w:pPr>
        <w:pStyle w:val="ListBullet"/>
        <w:spacing w:after="60" w:line="276" w:lineRule="auto"/>
      </w:pPr>
      <w:r>
        <w:rPr>
          <w:b/>
        </w:rPr>
        <w:t xml:space="preserve">Name: </w:t>
      </w:r>
      <w:r>
        <w:t xml:space="preserve"> The designated namespace identifying the system volume anchor.</w:t>
      </w:r>
    </w:p>
    <w:p>
      <w:pPr>
        <w:pStyle w:val="ListBullet"/>
        <w:spacing w:after="60" w:line="276" w:lineRule="auto"/>
      </w:pPr>
      <w:r>
        <w:rPr>
          <w:b/>
        </w:rPr>
        <w:t xml:space="preserve">Mountpoint: </w:t>
      </w:r>
      <w:r>
        <w:t xml:space="preserve"> The explicit folder path mapping directly to the physical storage partition on your host.</w:t>
      </w:r>
    </w:p>
    <w:p>
      <w:pPr>
        <w:spacing w:after="120" w:line="276" w:lineRule="auto"/>
      </w:pPr>
      <w:r>
        <w:t>In standard environments, the target folder resolves inside the root-level engine ecosystem path:</w:t>
      </w:r>
    </w:p>
    <w:p>
      <w:pPr>
        <w:spacing w:before="80" w:after="80"/>
        <w:ind w:left="360"/>
        <w:shd w:fill="F2F2F2"/>
      </w:pPr>
      <w:r>
        <w:rPr>
          <w:rFonts w:ascii="Consolas" w:hAnsi="Consolas"/>
          <w:sz w:val="20"/>
        </w:rPr>
        <w:t>/var/lib/docker/volumes/spring_uploads/_data</w:t>
      </w:r>
    </w:p>
    <w:p>
      <w:pPr>
        <w:keepNext/>
        <w:spacing w:before="360" w:after="120"/>
      </w:pPr>
      <w:r>
        <w:rPr>
          <w:rFonts w:ascii="Arial" w:hAnsi="Arial"/>
          <w:b/>
          <w:color w:val="1F4E79"/>
          <w:sz w:val="32"/>
        </w:rPr>
        <w:t>3. Injecting Configuration via Bind Mounts</w:t>
      </w:r>
    </w:p>
    <w:p>
      <w:pPr>
        <w:spacing w:after="120" w:line="276" w:lineRule="auto"/>
      </w:pPr>
      <w:r>
        <w:t>While named volumes excel at storing abstract runtime outputs, Bind Mounts are perfect for pushing configuration artifacts directly inside application structures. This eliminates any need to reconstruct localized base images when deploying to separate infrastructure environments.</w:t>
      </w:r>
    </w:p>
    <w:p>
      <w:pPr>
        <w:keepNext/>
        <w:spacing w:before="240" w:after="80"/>
      </w:pPr>
      <w:r>
        <w:rPr>
          <w:rFonts w:ascii="Arial" w:hAnsi="Arial"/>
          <w:b/>
          <w:color w:val="1F4E79"/>
          <w:sz w:val="26"/>
        </w:rPr>
        <w:t>Operational Setup Sequence:</w:t>
      </w:r>
    </w:p>
    <w:p>
      <w:pPr>
        <w:spacing w:after="120" w:line="276" w:lineRule="auto"/>
      </w:pPr>
      <w:r>
        <w:t>1. Provision a native configuration context folder and design your properties schema file inside the host workspace path:</w:t>
      </w:r>
    </w:p>
    <w:p>
      <w:pPr>
        <w:spacing w:before="80" w:after="80"/>
        <w:ind w:left="360"/>
        <w:shd w:fill="F2F2F2"/>
      </w:pPr>
      <w:r>
        <w:rPr>
          <w:rFonts w:ascii="Consolas" w:hAnsi="Consolas"/>
          <w:sz w:val="20"/>
        </w:rPr>
        <w:t>mkdir -p /app/config</w:t>
        <w:br/>
        <w:t>nano /app/config/application.properties</w:t>
      </w:r>
    </w:p>
    <w:p>
      <w:pPr>
        <w:spacing w:after="120" w:line="276" w:lineRule="auto"/>
      </w:pPr>
      <w:r>
        <w:t>2. Execute your application container run runtime using absolute path definitions:</w:t>
      </w:r>
    </w:p>
    <w:p>
      <w:pPr>
        <w:spacing w:before="80" w:after="80"/>
        <w:ind w:left="360"/>
        <w:shd w:fill="F2F2F2"/>
      </w:pPr>
      <w:r>
        <w:rPr>
          <w:rFonts w:ascii="Consolas" w:hAnsi="Consolas"/>
          <w:sz w:val="20"/>
        </w:rPr>
        <w:t>docker run -d \</w:t>
        <w:br/>
        <w:t xml:space="preserve">  -p 8080:8080 \</w:t>
        <w:br/>
        <w:t xml:space="preserve">  --name my-springboot-app \</w:t>
        <w:br/>
        <w:t xml:space="preserve">  -v /app/config:/config \</w:t>
        <w:br/>
        <w:t xml:space="preserve">  yourusername/springboot-app:1.0</w:t>
      </w:r>
    </w:p>
    <w:p>
      <w:pPr>
        <w:spacing w:after="120" w:line="276" w:lineRule="auto"/>
      </w:pPr>
      <w:r>
        <w:t>Spring Boot is natively engineered to scan the absolute folder target '/config' relative to its running root directory. It automatically evaluates the mapped host property declarations, safely overriding any base parameters packed inside the initial image compile workflow.</w:t>
      </w:r>
    </w:p>
    <w:p>
      <w:pPr>
        <w:keepNext/>
        <w:spacing w:before="360" w:after="120"/>
      </w:pPr>
      <w:r>
        <w:rPr>
          <w:rFonts w:ascii="Arial" w:hAnsi="Arial"/>
          <w:b/>
          <w:color w:val="1F4E79"/>
          <w:sz w:val="32"/>
        </w:rPr>
        <w:t>4. Structural Comparison: Named Volumes vs. Bind Mounts</w:t>
      </w:r>
    </w:p>
    <w:tbl>
      <w:tblPr>
        <w:tblW w:type="auto" w:w="0"/>
        <w:jc w:val="center"/>
        <w:tblLook w:firstColumn="1" w:firstRow="1" w:lastColumn="0" w:lastRow="0" w:noHBand="0" w:noVBand="1" w:val="04A0"/>
      </w:tblPr>
      <w:tblGrid>
        <w:gridCol w:w="3120"/>
        <w:gridCol w:w="3120"/>
        <w:gridCol w:w="3120"/>
      </w:tblGrid>
      <w:tr>
        <w:tc>
          <w:tcPr>
            <w:tcW w:type="dxa" w:w="2160"/>
            <w:shd w:fill="1F4E79"/>
            <w:tcMar>
              <w:top w:w="120" w:type="dxa"/>
              <w:bottom w:w="120" w:type="dxa"/>
              <w:left w:w="150" w:type="dxa"/>
              <w:right w:w="150" w:type="dxa"/>
            </w:tcMar>
            <w:vAlign w:val="center"/>
          </w:tcPr>
          <w:p>
            <w:pPr>
              <w:jc w:val="left"/>
            </w:pPr>
            <w:r>
              <w:rPr>
                <w:b/>
                <w:color w:val="FFFFFF"/>
              </w:rPr>
              <w:t>Operational Metric</w:t>
            </w:r>
          </w:p>
        </w:tc>
        <w:tc>
          <w:tcPr>
            <w:tcW w:type="dxa" w:w="3600"/>
            <w:shd w:fill="1F4E79"/>
            <w:tcMar>
              <w:top w:w="120" w:type="dxa"/>
              <w:bottom w:w="120" w:type="dxa"/>
              <w:left w:w="150" w:type="dxa"/>
              <w:right w:w="150" w:type="dxa"/>
            </w:tcMar>
            <w:vAlign w:val="center"/>
          </w:tcPr>
          <w:p>
            <w:pPr>
              <w:jc w:val="left"/>
            </w:pPr>
            <w:r>
              <w:rPr>
                <w:b/>
                <w:color w:val="FFFFFF"/>
              </w:rPr>
              <w:t>Named Volumes (Internal)</w:t>
            </w:r>
          </w:p>
        </w:tc>
        <w:tc>
          <w:tcPr>
            <w:tcW w:type="dxa" w:w="3600"/>
            <w:shd w:fill="1F4E79"/>
            <w:tcMar>
              <w:top w:w="120" w:type="dxa"/>
              <w:bottom w:w="120" w:type="dxa"/>
              <w:left w:w="150" w:type="dxa"/>
              <w:right w:w="150" w:type="dxa"/>
            </w:tcMar>
            <w:vAlign w:val="center"/>
          </w:tcPr>
          <w:p>
            <w:pPr>
              <w:jc w:val="left"/>
            </w:pPr>
            <w:r>
              <w:rPr>
                <w:b/>
                <w:color w:val="FFFFFF"/>
              </w:rPr>
              <w:t>Bind Mounts (Host Mapping)</w:t>
            </w:r>
          </w:p>
        </w:tc>
      </w:tr>
      <w:tr>
        <w:tc>
          <w:tcPr>
            <w:tcW w:type="dxa" w:w="2160"/>
            <w:tcMar>
              <w:top w:w="120" w:type="dxa"/>
              <w:bottom w:w="120" w:type="dxa"/>
              <w:left w:w="150" w:type="dxa"/>
              <w:right w:w="150" w:type="dxa"/>
            </w:tcMar>
            <w:vAlign w:val="center"/>
          </w:tcPr>
          <w:p>
            <w:r>
              <w:t>System Governance</w:t>
            </w:r>
          </w:p>
        </w:tc>
        <w:tc>
          <w:tcPr>
            <w:tcW w:type="dxa" w:w="3600"/>
            <w:tcMar>
              <w:top w:w="120" w:type="dxa"/>
              <w:bottom w:w="120" w:type="dxa"/>
              <w:left w:w="150" w:type="dxa"/>
              <w:right w:w="150" w:type="dxa"/>
            </w:tcMar>
            <w:vAlign w:val="center"/>
          </w:tcPr>
          <w:p>
            <w:r>
              <w:t>Isolated entirely by the Docker system manager.</w:t>
            </w:r>
          </w:p>
        </w:tc>
        <w:tc>
          <w:tcPr>
            <w:tcW w:type="dxa" w:w="3600"/>
            <w:tcMar>
              <w:top w:w="120" w:type="dxa"/>
              <w:bottom w:w="120" w:type="dxa"/>
              <w:left w:w="150" w:type="dxa"/>
              <w:right w:w="150" w:type="dxa"/>
            </w:tcMar>
            <w:vAlign w:val="center"/>
          </w:tcPr>
          <w:p>
            <w:r>
              <w:t>Governed explicitly by your host system users/paths.</w:t>
            </w:r>
          </w:p>
        </w:tc>
      </w:tr>
      <w:tr>
        <w:tc>
          <w:tcPr>
            <w:tcW w:type="dxa" w:w="2160"/>
            <w:shd w:fill="F2F2F2"/>
            <w:tcMar>
              <w:top w:w="120" w:type="dxa"/>
              <w:bottom w:w="120" w:type="dxa"/>
              <w:left w:w="150" w:type="dxa"/>
              <w:right w:w="150" w:type="dxa"/>
            </w:tcMar>
            <w:vAlign w:val="center"/>
          </w:tcPr>
          <w:p>
            <w:r>
              <w:t>Host Path Definition</w:t>
            </w:r>
          </w:p>
        </w:tc>
        <w:tc>
          <w:tcPr>
            <w:tcW w:type="dxa" w:w="3600"/>
            <w:shd w:fill="F2F2F2"/>
            <w:tcMar>
              <w:top w:w="120" w:type="dxa"/>
              <w:bottom w:w="120" w:type="dxa"/>
              <w:left w:w="150" w:type="dxa"/>
              <w:right w:w="150" w:type="dxa"/>
            </w:tcMar>
            <w:vAlign w:val="center"/>
          </w:tcPr>
          <w:p>
            <w:r>
              <w:t>Automatically generated internal system locations.</w:t>
            </w:r>
          </w:p>
        </w:tc>
        <w:tc>
          <w:tcPr>
            <w:tcW w:type="dxa" w:w="3600"/>
            <w:shd w:fill="F2F2F2"/>
            <w:tcMar>
              <w:top w:w="120" w:type="dxa"/>
              <w:bottom w:w="120" w:type="dxa"/>
              <w:left w:w="150" w:type="dxa"/>
              <w:right w:w="150" w:type="dxa"/>
            </w:tcMar>
            <w:vAlign w:val="center"/>
          </w:tcPr>
          <w:p>
            <w:r>
              <w:t>Requires manual declaration of absolute host file paths.</w:t>
            </w:r>
          </w:p>
        </w:tc>
      </w:tr>
      <w:tr>
        <w:tc>
          <w:tcPr>
            <w:tcW w:type="dxa" w:w="2160"/>
            <w:tcMar>
              <w:top w:w="120" w:type="dxa"/>
              <w:bottom w:w="120" w:type="dxa"/>
              <w:left w:w="150" w:type="dxa"/>
              <w:right w:w="150" w:type="dxa"/>
            </w:tcMar>
            <w:vAlign w:val="center"/>
          </w:tcPr>
          <w:p>
            <w:r>
              <w:t>Lifecycle Behavior</w:t>
            </w:r>
          </w:p>
        </w:tc>
        <w:tc>
          <w:tcPr>
            <w:tcW w:type="dxa" w:w="3600"/>
            <w:tcMar>
              <w:top w:w="120" w:type="dxa"/>
              <w:bottom w:w="120" w:type="dxa"/>
              <w:left w:w="150" w:type="dxa"/>
              <w:right w:w="150" w:type="dxa"/>
            </w:tcMar>
            <w:vAlign w:val="center"/>
          </w:tcPr>
          <w:p>
            <w:r>
              <w:t>Maintains baseline container directory state initially.</w:t>
            </w:r>
          </w:p>
        </w:tc>
        <w:tc>
          <w:tcPr>
            <w:tcW w:type="dxa" w:w="3600"/>
            <w:tcMar>
              <w:top w:w="120" w:type="dxa"/>
              <w:bottom w:w="120" w:type="dxa"/>
              <w:left w:w="150" w:type="dxa"/>
              <w:right w:w="150" w:type="dxa"/>
            </w:tcMar>
            <w:vAlign w:val="center"/>
          </w:tcPr>
          <w:p>
            <w:r>
              <w:t>Forces complete mapping overrides onto the target folder.</w:t>
            </w:r>
          </w:p>
        </w:tc>
      </w:tr>
      <w:tr>
        <w:tc>
          <w:tcPr>
            <w:tcW w:type="dxa" w:w="2160"/>
            <w:shd w:fill="F2F2F2"/>
            <w:tcMar>
              <w:top w:w="120" w:type="dxa"/>
              <w:bottom w:w="120" w:type="dxa"/>
              <w:left w:w="150" w:type="dxa"/>
              <w:right w:w="150" w:type="dxa"/>
            </w:tcMar>
            <w:vAlign w:val="center"/>
          </w:tcPr>
          <w:p>
            <w:r>
              <w:t>Optimal Deployment</w:t>
            </w:r>
          </w:p>
        </w:tc>
        <w:tc>
          <w:tcPr>
            <w:tcW w:type="dxa" w:w="3600"/>
            <w:shd w:fill="F2F2F2"/>
            <w:tcMar>
              <w:top w:w="120" w:type="dxa"/>
              <w:bottom w:w="120" w:type="dxa"/>
              <w:left w:w="150" w:type="dxa"/>
              <w:right w:w="150" w:type="dxa"/>
            </w:tcMar>
            <w:vAlign w:val="center"/>
          </w:tcPr>
          <w:p>
            <w:r>
              <w:t>Production database clusters and persistent user media uploads.</w:t>
            </w:r>
          </w:p>
        </w:tc>
        <w:tc>
          <w:tcPr>
            <w:tcW w:type="dxa" w:w="3600"/>
            <w:shd w:fill="F2F2F2"/>
            <w:tcMar>
              <w:top w:w="120" w:type="dxa"/>
              <w:bottom w:w="120" w:type="dxa"/>
              <w:left w:w="150" w:type="dxa"/>
              <w:right w:w="150" w:type="dxa"/>
            </w:tcMar>
            <w:vAlign w:val="center"/>
          </w:tcPr>
          <w:p>
            <w:r>
              <w:t>Localized code hot-swapping or custom configuration deployment.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