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rial" w:hAnsi="Arial"/>
          <w:b/>
          <w:color w:val="003366"/>
          <w:sz w:val="36"/>
        </w:rPr>
        <w:t>Docker Named Volumes: Comprehensive Reference Guide</w:t>
      </w:r>
    </w:p>
    <w:p>
      <w:pPr>
        <w:spacing w:after="120" w:line="276" w:lineRule="auto"/>
      </w:pPr>
      <w:r>
        <w:rPr>
          <w:rFonts w:ascii="Calibri" w:hAnsi="Calibri"/>
          <w:b w:val="0"/>
          <w:i w:val="0"/>
          <w:color w:val="333333"/>
          <w:sz w:val="21"/>
        </w:rPr>
        <w:t>Containers are ephemeral by default. When a container is deleted or updated, any data written inside its internal layer vanishes instantly. Docker Named Volumes solve this problem by providing a lifecycle-independent, persistent external storage layer managed directly by the Docker engine.</w:t>
      </w:r>
    </w:p>
    <w:p>
      <w:pPr>
        <w:keepNext/>
        <w:spacing w:before="240" w:after="80"/>
      </w:pPr>
      <w:r>
        <w:rPr>
          <w:rFonts w:ascii="Arial" w:hAnsi="Arial"/>
          <w:b/>
          <w:color w:val="003366"/>
          <w:sz w:val="28"/>
        </w:rPr>
        <w:t>1. How Named Volumes Work Under the Hood</w:t>
      </w:r>
    </w:p>
    <w:p>
      <w:pPr>
        <w:spacing w:after="60" w:line="276" w:lineRule="auto"/>
      </w:pPr>
      <w:r>
        <w:rPr>
          <w:rFonts w:ascii="Calibri" w:hAnsi="Calibri"/>
          <w:b w:val="0"/>
          <w:i w:val="0"/>
          <w:color w:val="333333"/>
          <w:sz w:val="21"/>
        </w:rPr>
        <w:t>Named volumes bypass the typical storage driver mechanism used by containers, allowing direct reads and writes to the host filesystem at native speeds. When initialized, the structural framework handles isolation natively:</w:t>
      </w:r>
    </w:p>
    <w:p>
      <w:pPr>
        <w:pStyle w:val="ListBullet"/>
        <w:spacing w:after="40" w:line="276" w:lineRule="auto"/>
      </w:pPr>
      <w:r>
        <w:rPr>
          <w:rFonts w:ascii="Calibri" w:hAnsi="Calibri"/>
          <w:b/>
          <w:color w:val="333333"/>
          <w:sz w:val="21"/>
        </w:rPr>
        <w:t xml:space="preserve">Host Isolation: </w:t>
      </w:r>
      <w:r>
        <w:rPr>
          <w:rFonts w:ascii="Calibri" w:hAnsi="Calibri"/>
          <w:color w:val="333333"/>
          <w:sz w:val="21"/>
        </w:rPr>
        <w:t xml:space="preserve"> The Docker daemon creates a dedicated storage partition inside its protected environment on the host machine. You do not manage or touch these files from standard host file browsers, preventing directory corruption.</w:t>
      </w:r>
    </w:p>
    <w:p>
      <w:pPr>
        <w:pStyle w:val="ListBullet"/>
        <w:spacing w:after="40" w:line="276" w:lineRule="auto"/>
      </w:pPr>
      <w:r>
        <w:rPr>
          <w:rFonts w:ascii="Calibri" w:hAnsi="Calibri"/>
          <w:b/>
          <w:color w:val="333333"/>
          <w:sz w:val="21"/>
        </w:rPr>
        <w:t xml:space="preserve">Automatic Data Seeding: </w:t>
      </w:r>
      <w:r>
        <w:rPr>
          <w:rFonts w:ascii="Calibri" w:hAnsi="Calibri"/>
          <w:color w:val="333333"/>
          <w:sz w:val="21"/>
        </w:rPr>
        <w:t xml:space="preserve"> If you mount a fresh, empty named volume to an active container directory that already contains software files, Docker automatically clones those pre-existing assets up into your volume first. This facilitates simple out-of-the-box configuration seeding.</w:t>
      </w:r>
    </w:p>
    <w:p>
      <w:pPr>
        <w:pStyle w:val="ListBullet"/>
        <w:spacing w:after="40" w:line="276" w:lineRule="auto"/>
      </w:pPr>
      <w:r>
        <w:rPr>
          <w:rFonts w:ascii="Calibri" w:hAnsi="Calibri"/>
          <w:b/>
          <w:color w:val="333333"/>
          <w:sz w:val="21"/>
        </w:rPr>
        <w:t xml:space="preserve">Concurrent Sharing: </w:t>
      </w:r>
      <w:r>
        <w:rPr>
          <w:rFonts w:ascii="Calibri" w:hAnsi="Calibri"/>
          <w:color w:val="333333"/>
          <w:sz w:val="21"/>
        </w:rPr>
        <w:t xml:space="preserve"> Multiple application instances can bind to the exact same named volume simultaneously. This allows rapid multi-instance reading or clean cluster operations across separate processes.</w:t>
      </w:r>
    </w:p>
    <w:p>
      <w:pPr>
        <w:keepNext/>
        <w:spacing w:before="160" w:after="40"/>
      </w:pPr>
      <w:r>
        <w:rPr>
          <w:rFonts w:ascii="Arial" w:hAnsi="Arial"/>
          <w:b/>
          <w:color w:val="003366"/>
          <w:sz w:val="23"/>
        </w:rPr>
        <w:t>Physical Storage Directives by Operating System:</w:t>
      </w:r>
    </w:p>
    <w:p>
      <w:pPr>
        <w:pStyle w:val="ListBullet"/>
        <w:spacing w:after="40" w:line="276" w:lineRule="auto"/>
      </w:pPr>
      <w:r>
        <w:rPr>
          <w:rFonts w:ascii="Calibri" w:hAnsi="Calibri"/>
          <w:b/>
          <w:color w:val="333333"/>
          <w:sz w:val="21"/>
        </w:rPr>
        <w:t xml:space="preserve">Linux Native Systems: </w:t>
      </w:r>
      <w:r>
        <w:rPr>
          <w:rFonts w:ascii="Calibri" w:hAnsi="Calibri"/>
          <w:color w:val="333333"/>
          <w:sz w:val="21"/>
        </w:rPr>
        <w:t xml:space="preserve"> /var/lib/docker/volumes/</w:t>
      </w:r>
    </w:p>
    <w:p>
      <w:pPr>
        <w:pStyle w:val="ListBullet"/>
        <w:spacing w:after="40" w:line="276" w:lineRule="auto"/>
      </w:pPr>
      <w:r>
        <w:rPr>
          <w:rFonts w:ascii="Calibri" w:hAnsi="Calibri"/>
          <w:b/>
          <w:color w:val="333333"/>
          <w:sz w:val="21"/>
        </w:rPr>
        <w:t xml:space="preserve">macOS Environments: </w:t>
      </w:r>
      <w:r>
        <w:rPr>
          <w:rFonts w:ascii="Calibri" w:hAnsi="Calibri"/>
          <w:color w:val="333333"/>
          <w:sz w:val="21"/>
        </w:rPr>
        <w:t xml:space="preserve"> Inside a dedicated virtualized disk environment located at ~/Library/Containers/com.docker.docker/Data/vms/0/data/Docker.raw</w:t>
      </w:r>
    </w:p>
    <w:p>
      <w:pPr>
        <w:pStyle w:val="ListBullet"/>
        <w:spacing w:after="40" w:line="276" w:lineRule="auto"/>
      </w:pPr>
      <w:r>
        <w:rPr>
          <w:rFonts w:ascii="Calibri" w:hAnsi="Calibri"/>
          <w:b/>
          <w:color w:val="333333"/>
          <w:sz w:val="21"/>
        </w:rPr>
        <w:t xml:space="preserve">Windows Desktop (WSL2 Backend): </w:t>
      </w:r>
      <w:r>
        <w:rPr>
          <w:rFonts w:ascii="Calibri" w:hAnsi="Calibri"/>
          <w:color w:val="333333"/>
          <w:sz w:val="21"/>
        </w:rPr>
        <w:t xml:space="preserve"> Encapsulated within the WSL2 system mount point at \\wsl$\docker-desktop-data\data\docker\volumes\</w:t>
      </w:r>
    </w:p>
    <w:p>
      <w:pPr>
        <w:keepNext/>
        <w:spacing w:before="240" w:after="80"/>
      </w:pPr>
      <w:r>
        <w:rPr>
          <w:rFonts w:ascii="Arial" w:hAnsi="Arial"/>
          <w:b/>
          <w:color w:val="003366"/>
          <w:sz w:val="28"/>
        </w:rPr>
        <w:t>2. Strategic Comparison: Storage Paradigms</w:t>
      </w:r>
    </w:p>
    <w:tbl>
      <w:tblPr>
        <w:tblStyle w:val="LightShading-Accent1"/>
        <w:tblW w:type="auto" w:w="0"/>
        <w:tblLook w:firstColumn="1" w:firstRow="1" w:lastColumn="0" w:lastRow="0" w:noHBand="0" w:noVBand="1" w:val="04A0"/>
      </w:tblPr>
      <w:tblGrid>
        <w:gridCol w:w="2700"/>
        <w:gridCol w:w="2700"/>
        <w:gridCol w:w="2700"/>
        <w:gridCol w:w="2700"/>
      </w:tblGrid>
      <w:tr>
        <w:tc>
          <w:tcPr>
            <w:tcW w:type="dxa" w:w="2700"/>
          </w:tcPr>
          <w:p>
            <w:r>
              <w:rPr>
                <w:rFonts w:ascii="Arial" w:hAnsi="Arial"/>
                <w:b/>
                <w:sz w:val="19"/>
              </w:rPr>
              <w:t>Storage Architecture</w:t>
            </w:r>
          </w:p>
        </w:tc>
        <w:tc>
          <w:tcPr>
            <w:tcW w:type="dxa" w:w="2700"/>
          </w:tcPr>
          <w:p>
            <w:r>
              <w:rPr>
                <w:rFonts w:ascii="Arial" w:hAnsi="Arial"/>
                <w:b/>
                <w:sz w:val="19"/>
              </w:rPr>
              <w:t>Named Volume</w:t>
            </w:r>
          </w:p>
        </w:tc>
        <w:tc>
          <w:tcPr>
            <w:tcW w:type="dxa" w:w="2700"/>
          </w:tcPr>
          <w:p>
            <w:r>
              <w:rPr>
                <w:rFonts w:ascii="Arial" w:hAnsi="Arial"/>
                <w:b/>
                <w:sz w:val="19"/>
              </w:rPr>
              <w:t>Anonymous Volume</w:t>
            </w:r>
          </w:p>
        </w:tc>
        <w:tc>
          <w:tcPr>
            <w:tcW w:type="dxa" w:w="2700"/>
          </w:tcPr>
          <w:p>
            <w:r>
              <w:rPr>
                <w:rFonts w:ascii="Arial" w:hAnsi="Arial"/>
                <w:b/>
                <w:sz w:val="19"/>
              </w:rPr>
              <w:t>Bind Mount</w:t>
            </w:r>
          </w:p>
        </w:tc>
      </w:tr>
      <w:tr>
        <w:tc>
          <w:tcPr>
            <w:tcW w:type="dxa" w:w="2700"/>
          </w:tcPr>
          <w:p>
            <w:pPr>
              <w:spacing w:after="40" w:line="252" w:lineRule="auto"/>
            </w:pPr>
            <w:r>
              <w:rPr>
                <w:rFonts w:ascii="Calibri" w:hAnsi="Calibri"/>
                <w:b/>
                <w:color w:val="333333"/>
                <w:sz w:val="18"/>
              </w:rPr>
              <w:t>Identity Flag</w:t>
            </w:r>
          </w:p>
        </w:tc>
        <w:tc>
          <w:tcPr>
            <w:tcW w:type="dxa" w:w="2700"/>
          </w:tcPr>
          <w:p>
            <w:pPr>
              <w:spacing w:after="40" w:line="252" w:lineRule="auto"/>
            </w:pPr>
            <w:r>
              <w:rPr>
                <w:rFonts w:ascii="Calibri" w:hAnsi="Calibri"/>
                <w:color w:val="333333"/>
                <w:sz w:val="18"/>
              </w:rPr>
              <w:t>User-defined text identifier (e.g., db_data)</w:t>
            </w:r>
          </w:p>
        </w:tc>
        <w:tc>
          <w:tcPr>
            <w:tcW w:type="dxa" w:w="2700"/>
          </w:tcPr>
          <w:p>
            <w:pPr>
              <w:spacing w:after="40" w:line="252" w:lineRule="auto"/>
            </w:pPr>
            <w:r>
              <w:rPr>
                <w:rFonts w:ascii="Calibri" w:hAnsi="Calibri"/>
                <w:color w:val="333333"/>
                <w:sz w:val="18"/>
              </w:rPr>
              <w:t>Random 64-character hash string</w:t>
            </w:r>
          </w:p>
        </w:tc>
        <w:tc>
          <w:tcPr>
            <w:tcW w:type="dxa" w:w="2700"/>
          </w:tcPr>
          <w:p>
            <w:pPr>
              <w:spacing w:after="40" w:line="252" w:lineRule="auto"/>
            </w:pPr>
            <w:r>
              <w:rPr>
                <w:rFonts w:ascii="Calibri" w:hAnsi="Calibri"/>
                <w:color w:val="333333"/>
                <w:sz w:val="18"/>
              </w:rPr>
              <w:t>Explicit absolute filepath path string</w:t>
            </w:r>
          </w:p>
        </w:tc>
      </w:tr>
      <w:tr>
        <w:tc>
          <w:tcPr>
            <w:tcW w:type="dxa" w:w="2700"/>
          </w:tcPr>
          <w:p>
            <w:pPr>
              <w:spacing w:after="40" w:line="252" w:lineRule="auto"/>
            </w:pPr>
            <w:r>
              <w:rPr>
                <w:rFonts w:ascii="Calibri" w:hAnsi="Calibri"/>
                <w:b/>
                <w:color w:val="333333"/>
                <w:sz w:val="18"/>
              </w:rPr>
              <w:t>Lifecycle Rule</w:t>
            </w:r>
          </w:p>
        </w:tc>
        <w:tc>
          <w:tcPr>
            <w:tcW w:type="dxa" w:w="2700"/>
          </w:tcPr>
          <w:p>
            <w:pPr>
              <w:spacing w:after="40" w:line="252" w:lineRule="auto"/>
            </w:pPr>
            <w:r>
              <w:rPr>
                <w:rFonts w:ascii="Calibri" w:hAnsi="Calibri"/>
                <w:color w:val="333333"/>
                <w:sz w:val="18"/>
              </w:rPr>
              <w:t>Persistent. Remains intact when containers drop.</w:t>
            </w:r>
          </w:p>
        </w:tc>
        <w:tc>
          <w:tcPr>
            <w:tcW w:type="dxa" w:w="2700"/>
          </w:tcPr>
          <w:p>
            <w:pPr>
              <w:spacing w:after="40" w:line="252" w:lineRule="auto"/>
            </w:pPr>
            <w:r>
              <w:rPr>
                <w:rFonts w:ascii="Calibri" w:hAnsi="Calibri"/>
                <w:color w:val="333333"/>
                <w:sz w:val="18"/>
              </w:rPr>
              <w:t>Temporary. Cleans out if --rm is checked.</w:t>
            </w:r>
          </w:p>
        </w:tc>
        <w:tc>
          <w:tcPr>
            <w:tcW w:type="dxa" w:w="2700"/>
          </w:tcPr>
          <w:p>
            <w:pPr>
              <w:spacing w:after="40" w:line="252" w:lineRule="auto"/>
            </w:pPr>
            <w:r>
              <w:rPr>
                <w:rFonts w:ascii="Calibri" w:hAnsi="Calibri"/>
                <w:color w:val="333333"/>
                <w:sz w:val="18"/>
              </w:rPr>
              <w:t>Persistent. Independent of engine state.</w:t>
            </w:r>
          </w:p>
        </w:tc>
      </w:tr>
      <w:tr>
        <w:tc>
          <w:tcPr>
            <w:tcW w:type="dxa" w:w="2700"/>
          </w:tcPr>
          <w:p>
            <w:pPr>
              <w:spacing w:after="40" w:line="252" w:lineRule="auto"/>
            </w:pPr>
            <w:r>
              <w:rPr>
                <w:rFonts w:ascii="Calibri" w:hAnsi="Calibri"/>
                <w:b/>
                <w:color w:val="333333"/>
                <w:sz w:val="18"/>
              </w:rPr>
              <w:t>Sharing Profile</w:t>
            </w:r>
          </w:p>
        </w:tc>
        <w:tc>
          <w:tcPr>
            <w:tcW w:type="dxa" w:w="2700"/>
          </w:tcPr>
          <w:p>
            <w:pPr>
              <w:spacing w:after="40" w:line="252" w:lineRule="auto"/>
            </w:pPr>
            <w:r>
              <w:rPr>
                <w:rFonts w:ascii="Calibri" w:hAnsi="Calibri"/>
                <w:color w:val="333333"/>
                <w:sz w:val="18"/>
              </w:rPr>
              <w:t>Highly portable. Mounts to any container target.</w:t>
            </w:r>
          </w:p>
        </w:tc>
        <w:tc>
          <w:tcPr>
            <w:tcW w:type="dxa" w:w="2700"/>
          </w:tcPr>
          <w:p>
            <w:pPr>
              <w:spacing w:after="40" w:line="252" w:lineRule="auto"/>
            </w:pPr>
            <w:r>
              <w:rPr>
                <w:rFonts w:ascii="Calibri" w:hAnsi="Calibri"/>
                <w:color w:val="333333"/>
                <w:sz w:val="18"/>
              </w:rPr>
              <w:t>Difficult. Requires advanced hash tracking.</w:t>
            </w:r>
          </w:p>
        </w:tc>
        <w:tc>
          <w:tcPr>
            <w:tcW w:type="dxa" w:w="2700"/>
          </w:tcPr>
          <w:p>
            <w:pPr>
              <w:spacing w:after="40" w:line="252" w:lineRule="auto"/>
            </w:pPr>
            <w:r>
              <w:rPr>
                <w:rFonts w:ascii="Calibri" w:hAnsi="Calibri"/>
                <w:color w:val="333333"/>
                <w:sz w:val="18"/>
              </w:rPr>
              <w:t>Simple local filesystem linking.</w:t>
            </w:r>
          </w:p>
        </w:tc>
      </w:tr>
      <w:tr>
        <w:tc>
          <w:tcPr>
            <w:tcW w:type="dxa" w:w="2700"/>
          </w:tcPr>
          <w:p>
            <w:pPr>
              <w:spacing w:after="40" w:line="252" w:lineRule="auto"/>
            </w:pPr>
            <w:r>
              <w:rPr>
                <w:rFonts w:ascii="Calibri" w:hAnsi="Calibri"/>
                <w:b/>
                <w:color w:val="333333"/>
                <w:sz w:val="18"/>
              </w:rPr>
              <w:t>Optimal Target</w:t>
            </w:r>
          </w:p>
        </w:tc>
        <w:tc>
          <w:tcPr>
            <w:tcW w:type="dxa" w:w="2700"/>
          </w:tcPr>
          <w:p>
            <w:pPr>
              <w:spacing w:after="40" w:line="252" w:lineRule="auto"/>
            </w:pPr>
            <w:r>
              <w:rPr>
                <w:rFonts w:ascii="Calibri" w:hAnsi="Calibri"/>
                <w:color w:val="333333"/>
                <w:sz w:val="18"/>
              </w:rPr>
              <w:t>Production database engines &amp; shared storage.</w:t>
            </w:r>
          </w:p>
        </w:tc>
        <w:tc>
          <w:tcPr>
            <w:tcW w:type="dxa" w:w="2700"/>
          </w:tcPr>
          <w:p>
            <w:pPr>
              <w:spacing w:after="40" w:line="252" w:lineRule="auto"/>
            </w:pPr>
            <w:r>
              <w:rPr>
                <w:rFonts w:ascii="Calibri" w:hAnsi="Calibri"/>
                <w:color w:val="333333"/>
                <w:sz w:val="18"/>
              </w:rPr>
              <w:t>Ephemeral application scratchpads &amp; build caches.</w:t>
            </w:r>
          </w:p>
        </w:tc>
        <w:tc>
          <w:tcPr>
            <w:tcW w:type="dxa" w:w="2700"/>
          </w:tcPr>
          <w:p>
            <w:pPr>
              <w:spacing w:after="40" w:line="252" w:lineRule="auto"/>
            </w:pPr>
            <w:r>
              <w:rPr>
                <w:rFonts w:ascii="Calibri" w:hAnsi="Calibri"/>
                <w:color w:val="333333"/>
                <w:sz w:val="18"/>
              </w:rPr>
              <w:t>Syncing source files for real-time development.</w:t>
            </w:r>
          </w:p>
        </w:tc>
      </w:tr>
    </w:tbl>
    <w:p>
      <w:pPr>
        <w:spacing w:before="120"/>
      </w:pPr>
    </w:p>
    <w:p>
      <w:pPr>
        <w:keepNext/>
        <w:spacing w:before="240" w:after="80"/>
      </w:pPr>
      <w:r>
        <w:rPr>
          <w:rFonts w:ascii="Arial" w:hAnsi="Arial"/>
          <w:b/>
          <w:color w:val="003366"/>
          <w:sz w:val="28"/>
        </w:rPr>
        <w:t>3. Managing and Identifying Volumes (CLI Operations)</w:t>
      </w:r>
    </w:p>
    <w:p>
      <w:pPr>
        <w:spacing w:after="60" w:line="276" w:lineRule="auto"/>
      </w:pPr>
      <w:r>
        <w:rPr>
          <w:rFonts w:ascii="Calibri" w:hAnsi="Calibri"/>
          <w:b w:val="0"/>
          <w:i w:val="0"/>
          <w:color w:val="333333"/>
          <w:sz w:val="21"/>
        </w:rPr>
        <w:t>You can cleanly provision, trace, and dismantle named volumes using explicit lifecycle commands:</w:t>
      </w:r>
    </w:p>
    <w:p>
      <w:pPr>
        <w:spacing w:after="20" w:line="276" w:lineRule="auto"/>
      </w:pPr>
      <w:r>
        <w:rPr>
          <w:rFonts w:ascii="Calibri" w:hAnsi="Calibri"/>
          <w:b/>
          <w:i w:val="0"/>
          <w:color w:val="333333"/>
          <w:sz w:val="21"/>
        </w:rPr>
        <w:t>Step A: Provision a Volume</w:t>
      </w:r>
    </w:p>
    <w:p>
      <w:pPr>
        <w:spacing w:before="60" w:after="80"/>
        <w:ind w:left="360"/>
        <w:shd w:fill="F4F4F6"/>
      </w:pPr>
      <w:r>
        <w:rPr>
          <w:rFonts w:ascii="Consolas" w:hAnsi="Consolas"/>
          <w:color w:val="282828"/>
          <w:sz w:val="19"/>
        </w:rPr>
        <w:t>docker volume create my_custom_storage</w:t>
      </w:r>
    </w:p>
    <w:p>
      <w:pPr>
        <w:spacing w:after="20" w:line="276" w:lineRule="auto"/>
      </w:pPr>
      <w:r>
        <w:rPr>
          <w:rFonts w:ascii="Calibri" w:hAnsi="Calibri"/>
          <w:b/>
          <w:i w:val="0"/>
          <w:color w:val="333333"/>
          <w:sz w:val="21"/>
        </w:rPr>
        <w:t>Step B: Identify and List Assets</w:t>
      </w:r>
    </w:p>
    <w:p>
      <w:pPr>
        <w:spacing w:after="60" w:line="276" w:lineRule="auto"/>
      </w:pPr>
      <w:r>
        <w:rPr>
          <w:rFonts w:ascii="Calibri" w:hAnsi="Calibri"/>
          <w:b w:val="0"/>
          <w:i w:val="0"/>
          <w:color w:val="333333"/>
          <w:sz w:val="21"/>
        </w:rPr>
        <w:t>To see an inventory of all active volume identifiers allocated on your local engine daemon:</w:t>
      </w:r>
    </w:p>
    <w:p>
      <w:pPr>
        <w:spacing w:before="60" w:after="80"/>
        <w:ind w:left="360"/>
        <w:shd w:fill="F4F4F6"/>
      </w:pPr>
      <w:r>
        <w:rPr>
          <w:rFonts w:ascii="Consolas" w:hAnsi="Consolas"/>
          <w:color w:val="282828"/>
          <w:sz w:val="19"/>
        </w:rPr>
        <w:t>docker volume ls</w:t>
      </w:r>
    </w:p>
    <w:p>
      <w:pPr>
        <w:spacing w:after="20" w:line="276" w:lineRule="auto"/>
      </w:pPr>
      <w:r>
        <w:rPr>
          <w:rFonts w:ascii="Calibri" w:hAnsi="Calibri"/>
          <w:b/>
          <w:i w:val="0"/>
          <w:color w:val="333333"/>
          <w:sz w:val="21"/>
        </w:rPr>
        <w:t>Step C: Inspect Infrastructure Metadata</w:t>
      </w:r>
    </w:p>
    <w:p>
      <w:pPr>
        <w:spacing w:after="60" w:line="276" w:lineRule="auto"/>
      </w:pPr>
      <w:r>
        <w:rPr>
          <w:rFonts w:ascii="Calibri" w:hAnsi="Calibri"/>
          <w:b w:val="0"/>
          <w:i w:val="0"/>
          <w:color w:val="333333"/>
          <w:sz w:val="21"/>
        </w:rPr>
        <w:t>To view the target storage directory (Mountpoint), configuration flags, and low-level specifications:</w:t>
      </w:r>
    </w:p>
    <w:p>
      <w:pPr>
        <w:spacing w:before="60" w:after="80"/>
        <w:ind w:left="360"/>
        <w:shd w:fill="F4F4F6"/>
      </w:pPr>
      <w:r>
        <w:rPr>
          <w:rFonts w:ascii="Consolas" w:hAnsi="Consolas"/>
          <w:color w:val="282828"/>
          <w:sz w:val="19"/>
        </w:rPr>
        <w:t>docker volume inspect my_custom_storage</w:t>
      </w:r>
    </w:p>
    <w:p>
      <w:pPr>
        <w:spacing w:after="20" w:line="276" w:lineRule="auto"/>
      </w:pPr>
      <w:r>
        <w:rPr>
          <w:rFonts w:ascii="Calibri" w:hAnsi="Calibri"/>
          <w:b/>
          <w:i w:val="0"/>
          <w:color w:val="333333"/>
          <w:sz w:val="21"/>
        </w:rPr>
        <w:t>Step D: Delete Abandoned Storage</w:t>
      </w:r>
    </w:p>
    <w:p>
      <w:pPr>
        <w:spacing w:after="60" w:line="276" w:lineRule="auto"/>
      </w:pPr>
      <w:r>
        <w:rPr>
          <w:rFonts w:ascii="Calibri" w:hAnsi="Calibri"/>
          <w:b w:val="0"/>
          <w:i w:val="0"/>
          <w:color w:val="333333"/>
          <w:sz w:val="21"/>
        </w:rPr>
        <w:t>To safely strip out a volume once its associated containers are fully stopped and removed:</w:t>
      </w:r>
    </w:p>
    <w:p>
      <w:pPr>
        <w:spacing w:before="60" w:after="80"/>
        <w:ind w:left="360"/>
        <w:shd w:fill="F4F4F6"/>
      </w:pPr>
      <w:r>
        <w:rPr>
          <w:rFonts w:ascii="Consolas" w:hAnsi="Consolas"/>
          <w:color w:val="282828"/>
          <w:sz w:val="19"/>
        </w:rPr>
        <w:t>docker volume rm my_custom_storage</w:t>
      </w:r>
    </w:p>
    <w:p>
      <w:pPr>
        <w:keepNext/>
        <w:spacing w:before="240" w:after="80"/>
      </w:pPr>
      <w:r>
        <w:rPr>
          <w:rFonts w:ascii="Arial" w:hAnsi="Arial"/>
          <w:b/>
          <w:color w:val="003366"/>
          <w:sz w:val="28"/>
        </w:rPr>
        <w:t>4. How to Use Named Volumes in Practice</w:t>
      </w:r>
    </w:p>
    <w:p>
      <w:pPr>
        <w:spacing w:after="60" w:line="276" w:lineRule="auto"/>
      </w:pPr>
      <w:r>
        <w:rPr>
          <w:rFonts w:ascii="Calibri" w:hAnsi="Calibri"/>
          <w:b w:val="0"/>
          <w:i w:val="0"/>
          <w:color w:val="333333"/>
          <w:sz w:val="21"/>
        </w:rPr>
        <w:t>To bridge a named volume into an executing stack, mount the volume target at container runtime using the runtime CLI flags or declarative templates.</w:t>
      </w:r>
    </w:p>
    <w:p>
      <w:pPr>
        <w:keepNext/>
        <w:spacing w:before="160" w:after="40"/>
      </w:pPr>
      <w:r>
        <w:rPr>
          <w:rFonts w:ascii="Arial" w:hAnsi="Arial"/>
          <w:b/>
          <w:color w:val="003366"/>
          <w:sz w:val="23"/>
        </w:rPr>
        <w:t>Scenario A: Command-Line Interconnect (CLI)</w:t>
      </w:r>
    </w:p>
    <w:p>
      <w:pPr>
        <w:spacing w:after="60" w:line="276" w:lineRule="auto"/>
      </w:pPr>
      <w:r>
        <w:rPr>
          <w:rFonts w:ascii="Calibri" w:hAnsi="Calibri"/>
          <w:b w:val="0"/>
          <w:i w:val="0"/>
          <w:color w:val="333333"/>
          <w:sz w:val="21"/>
        </w:rPr>
        <w:t>Use the standard runtime volume flag (-v). The format follows a strict key relationship:</w:t>
      </w:r>
    </w:p>
    <w:p>
      <w:pPr>
        <w:spacing w:before="60" w:after="80"/>
        <w:ind w:left="360"/>
        <w:shd w:fill="F4F4F6"/>
      </w:pPr>
      <w:r>
        <w:rPr>
          <w:rFonts w:ascii="Consolas" w:hAnsi="Consolas"/>
          <w:color w:val="282828"/>
          <w:sz w:val="19"/>
        </w:rPr>
        <w:t>docker run -d \</w:t>
        <w:br/>
        <w:t xml:space="preserve">  --name database_engine \</w:t>
        <w:br/>
        <w:t xml:space="preserve">  -v my_custom_storage:/var/lib/mysql \</w:t>
        <w:br/>
        <w:t xml:space="preserve">  mysql:8.0</w:t>
      </w:r>
    </w:p>
    <w:p>
      <w:pPr>
        <w:spacing w:after="60" w:line="276" w:lineRule="auto"/>
      </w:pPr>
      <w:r>
        <w:rPr>
          <w:rFonts w:ascii="Calibri" w:hAnsi="Calibri"/>
          <w:b w:val="0"/>
          <w:i/>
          <w:color w:val="333333"/>
          <w:sz w:val="21"/>
        </w:rPr>
        <w:t>Note: If the designated volume string has not been explicitly initialized prior to running this script, the Docker engine immediately intercepts the instruction and builds it automatically.</w:t>
      </w:r>
    </w:p>
    <w:p>
      <w:pPr>
        <w:keepNext/>
        <w:spacing w:before="160" w:after="40"/>
      </w:pPr>
      <w:r>
        <w:rPr>
          <w:rFonts w:ascii="Arial" w:hAnsi="Arial"/>
          <w:b/>
          <w:color w:val="003366"/>
          <w:sz w:val="23"/>
        </w:rPr>
        <w:t>Scenario B: Declarative Multi-Container Compose Architecture</w:t>
      </w:r>
    </w:p>
    <w:p>
      <w:pPr>
        <w:spacing w:after="60" w:line="276" w:lineRule="auto"/>
      </w:pPr>
      <w:r>
        <w:rPr>
          <w:rFonts w:ascii="Calibri" w:hAnsi="Calibri"/>
          <w:b w:val="0"/>
          <w:i w:val="0"/>
          <w:color w:val="333333"/>
          <w:sz w:val="21"/>
        </w:rPr>
        <w:t>In enterprise applications using Docker Compose, the named volume must be globally declared at the root level of the configuration script before being mounted into an individual service layer:</w:t>
      </w:r>
    </w:p>
    <w:p>
      <w:pPr>
        <w:spacing w:before="60" w:after="80"/>
        <w:ind w:left="360"/>
        <w:shd w:fill="F4F4F6"/>
      </w:pPr>
      <w:r>
        <w:rPr>
          <w:rFonts w:ascii="Consolas" w:hAnsi="Consolas"/>
          <w:color w:val="282828"/>
          <w:sz w:val="19"/>
        </w:rPr>
        <w:t>version: '3.8'</w:t>
        <w:br/>
        <w:br/>
        <w:t>services:</w:t>
        <w:br/>
        <w:t xml:space="preserve">  application_db:</w:t>
        <w:br/>
        <w:t xml:space="preserve">    image: postgres:15-alpine</w:t>
        <w:br/>
        <w:t xml:space="preserve">    environment:</w:t>
        <w:br/>
        <w:t xml:space="preserve">      POSTGRES_PASSWORD: SecretEnterprisePassword</w:t>
        <w:br/>
        <w:t xml:space="preserve">    volumes:</w:t>
        <w:br/>
        <w:t xml:space="preserve">      # Schema format -&gt; [Volume_Name] : [Internal_Container_Path]</w:t>
        <w:br/>
        <w:t xml:space="preserve">      - pg_enterprise_data:/var/lib/postgresql/data</w:t>
        <w:br/>
        <w:br/>
        <w:t>volumes:</w:t>
        <w:br/>
        <w:t xml:space="preserve">  # Global top-level declaration ensures persistent life allocation</w:t>
        <w:br/>
        <w:t xml:space="preserve">  pg_enterprise_data:</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Reference Document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Docker Systems Reference Guide | Named Volumes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