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pPr>
      <w:r>
        <w:rPr>
          <w:rFonts w:ascii="Arial" w:hAnsi="Arial"/>
          <w:b/>
          <w:color w:val="003366"/>
          <w:sz w:val="44"/>
        </w:rPr>
        <w:t>Deep Dive: Docker Commit Architecture &amp; Best Practices</w:t>
      </w:r>
    </w:p>
    <w:p>
      <w:pPr>
        <w:spacing w:before="240" w:after="120"/>
      </w:pPr>
      <w:r>
        <w:rPr>
          <w:rFonts w:ascii="Arial" w:hAnsi="Arial"/>
          <w:b/>
          <w:color w:val="003366"/>
          <w:sz w:val="28"/>
        </w:rPr>
        <w:t>1. What is 'docker commit' and How Does It Work?</w:t>
      </w:r>
    </w:p>
    <w:p>
      <w:pPr>
        <w:spacing w:after="120"/>
      </w:pPr>
      <w:r>
        <w:rPr>
          <w:rFonts w:ascii="Calibri" w:hAnsi="Calibri"/>
          <w:color w:val="333333"/>
          <w:sz w:val="22"/>
        </w:rPr>
        <w:t xml:space="preserve">The </w:t>
      </w:r>
      <w:r>
        <w:rPr>
          <w:rFonts w:ascii="Calibri" w:hAnsi="Calibri"/>
          <w:b/>
          <w:color w:val="333333"/>
          <w:sz w:val="22"/>
        </w:rPr>
        <w:t>docker commit</w:t>
      </w:r>
      <w:r>
        <w:rPr>
          <w:rFonts w:ascii="Calibri" w:hAnsi="Calibri"/>
          <w:color w:val="333333"/>
          <w:sz w:val="22"/>
        </w:rPr>
        <w:t xml:space="preserve"> command captures a snapshot of a running or stopped container's writable file system layer and freezes it into a brand-new, read-only Docker image. This is conceptually identical to hitting a "Save Game" button inside a virtual environment—it captures all manual file additions, package installations, and system configurations made since the container was spawned.</w:t>
      </w:r>
    </w:p>
    <w:p>
      <w:pPr>
        <w:spacing w:after="80"/>
      </w:pPr>
      <w:r>
        <w:rPr>
          <w:rFonts w:ascii="Calibri" w:hAnsi="Calibri"/>
          <w:b/>
          <w:color w:val="333333"/>
          <w:sz w:val="22"/>
        </w:rPr>
        <w:t>The Layered File System Under the Hood:</w:t>
      </w:r>
    </w:p>
    <w:p>
      <w:pPr>
        <w:pStyle w:val="ListBullet"/>
        <w:spacing w:after="60"/>
      </w:pPr>
      <w:r>
        <w:rPr>
          <w:rFonts w:ascii="Calibri" w:hAnsi="Calibri"/>
          <w:b/>
          <w:color w:val="333333"/>
          <w:sz w:val="22"/>
        </w:rPr>
        <w:t xml:space="preserve">Base Image Layers (Read-Only): </w:t>
      </w:r>
      <w:r>
        <w:rPr>
          <w:rFonts w:ascii="Calibri" w:hAnsi="Calibri"/>
          <w:color w:val="333333"/>
          <w:sz w:val="22"/>
        </w:rPr>
        <w:t>When you deploy an image, its core layers are completely static and immutable.</w:t>
      </w:r>
    </w:p>
    <w:p>
      <w:pPr>
        <w:pStyle w:val="ListBullet"/>
        <w:spacing w:after="60"/>
      </w:pPr>
      <w:r>
        <w:rPr>
          <w:rFonts w:ascii="Calibri" w:hAnsi="Calibri"/>
          <w:b/>
          <w:color w:val="333333"/>
          <w:sz w:val="22"/>
        </w:rPr>
        <w:t xml:space="preserve">Container Writable Layer (Thin/Temporary): </w:t>
      </w:r>
      <w:r>
        <w:rPr>
          <w:rFonts w:ascii="Calibri" w:hAnsi="Calibri"/>
          <w:color w:val="333333"/>
          <w:sz w:val="22"/>
        </w:rPr>
        <w:t>All live modifications—such as modifying config properties, writing file logs, or pulling binaries via a package manager—are kept exclusively inside this ephemeral layer.</w:t>
      </w:r>
    </w:p>
    <w:p>
      <w:pPr>
        <w:pStyle w:val="ListBullet"/>
        <w:spacing w:after="60"/>
      </w:pPr>
      <w:r>
        <w:rPr>
          <w:rFonts w:ascii="Calibri" w:hAnsi="Calibri"/>
          <w:b/>
          <w:color w:val="333333"/>
          <w:sz w:val="22"/>
        </w:rPr>
        <w:t xml:space="preserve">The Commit Execution: </w:t>
      </w:r>
      <w:r>
        <w:rPr>
          <w:rFonts w:ascii="Calibri" w:hAnsi="Calibri"/>
          <w:color w:val="333333"/>
          <w:sz w:val="22"/>
        </w:rPr>
        <w:t>Running docker commit transforms this active writable workspace into an immutable, read-only stack layer, stitching a brand new Docker image on top.</w:t>
      </w:r>
    </w:p>
    <w:p>
      <w:pPr>
        <w:spacing w:before="240" w:after="120"/>
      </w:pPr>
      <w:r>
        <w:rPr>
          <w:rFonts w:ascii="Arial" w:hAnsi="Arial"/>
          <w:b/>
          <w:color w:val="003366"/>
          <w:sz w:val="28"/>
        </w:rPr>
        <w:t>2. Command Syntax &amp; Standard Execution</w:t>
      </w:r>
    </w:p>
    <w:p>
      <w:pPr>
        <w:spacing w:after="80"/>
      </w:pPr>
      <w:r>
        <w:rPr>
          <w:rFonts w:ascii="Calibri" w:hAnsi="Calibri"/>
          <w:b/>
          <w:sz w:val="22"/>
        </w:rPr>
        <w:t>Standard Command Form Structure:</w:t>
      </w:r>
    </w:p>
    <w:p>
      <w:pPr>
        <w:spacing w:before="80" w:after="120"/>
        <w:ind w:left="360" w:right="360"/>
        <w:pBdr>
          <w:left w:val="single" w:sz="18" w:space="8" w:color="003366"/>
        </w:pBdr>
        <w:shd w:fill="F4F6F8"/>
      </w:pPr>
      <w:r>
        <w:rPr>
          <w:rFonts w:ascii="Consolas" w:hAnsi="Consolas"/>
          <w:color w:val="1E1E1E"/>
          <w:sz w:val="19"/>
        </w:rPr>
        <w:t>docker commit [OPTIONS] &lt;CONTAINER_ID_OR_NAME&gt; [&lt;REPOSITORY&gt;[:&lt;TAG&gt;]]</w:t>
      </w:r>
    </w:p>
    <w:p>
      <w:pPr>
        <w:pStyle w:val="ListBullet"/>
        <w:spacing w:after="60"/>
      </w:pPr>
      <w:r>
        <w:rPr>
          <w:rFonts w:ascii="Calibri" w:hAnsi="Calibri"/>
          <w:b/>
          <w:color w:val="333333"/>
          <w:sz w:val="22"/>
        </w:rPr>
        <w:t xml:space="preserve">-a, --author: </w:t>
      </w:r>
      <w:r>
        <w:rPr>
          <w:rFonts w:ascii="Calibri" w:hAnsi="Calibri"/>
          <w:color w:val="333333"/>
          <w:sz w:val="22"/>
        </w:rPr>
        <w:t>Defines the image creator metadata signature string (e.g., -a "Ops Team").</w:t>
      </w:r>
    </w:p>
    <w:p>
      <w:pPr>
        <w:pStyle w:val="ListBullet"/>
        <w:spacing w:after="60"/>
      </w:pPr>
      <w:r>
        <w:rPr>
          <w:rFonts w:ascii="Calibri" w:hAnsi="Calibri"/>
          <w:b/>
          <w:color w:val="333333"/>
          <w:sz w:val="22"/>
        </w:rPr>
        <w:t xml:space="preserve">-m, --message: </w:t>
      </w:r>
      <w:r>
        <w:rPr>
          <w:rFonts w:ascii="Calibri" w:hAnsi="Calibri"/>
          <w:color w:val="333333"/>
          <w:sz w:val="22"/>
        </w:rPr>
        <w:t>Attaches a concise commit log describing the layer changes (e.g., -m "installed curl").</w:t>
      </w:r>
    </w:p>
    <w:p>
      <w:pPr>
        <w:pStyle w:val="ListBullet"/>
        <w:spacing w:after="60"/>
      </w:pPr>
      <w:r>
        <w:rPr>
          <w:rFonts w:ascii="Calibri" w:hAnsi="Calibri"/>
          <w:b/>
          <w:color w:val="333333"/>
          <w:sz w:val="22"/>
        </w:rPr>
        <w:t xml:space="preserve">-c, --change: </w:t>
      </w:r>
      <w:r>
        <w:rPr>
          <w:rFonts w:ascii="Calibri" w:hAnsi="Calibri"/>
          <w:color w:val="333333"/>
          <w:sz w:val="22"/>
        </w:rPr>
        <w:t>Applies standalone Dockerfile instructions (such as CMD or ENV adjustments) directly inside the new image context.</w:t>
      </w:r>
    </w:p>
    <w:p>
      <w:pPr>
        <w:spacing w:before="80"/>
      </w:pPr>
      <w:r>
        <w:rPr>
          <w:rFonts w:ascii="Calibri" w:hAnsi="Calibri"/>
          <w:b/>
        </w:rPr>
        <w:t>Real-World Command Sequence Example:</w:t>
      </w:r>
    </w:p>
    <w:p>
      <w:pPr>
        <w:spacing w:before="80" w:after="120"/>
        <w:ind w:left="360" w:right="360"/>
        <w:pBdr>
          <w:left w:val="single" w:sz="18" w:space="8" w:color="003366"/>
        </w:pBdr>
        <w:shd w:fill="F4F6F8"/>
      </w:pPr>
      <w:r>
        <w:rPr>
          <w:rFonts w:ascii="Consolas" w:hAnsi="Consolas"/>
          <w:color w:val="1E1E1E"/>
          <w:sz w:val="19"/>
        </w:rPr>
        <w:t># 1. Spin up a vanilla container interactively</w:t>
        <w:br/>
        <w:t>docker run -it --name system_base ubuntu</w:t>
        <w:br/>
        <w:br/>
        <w:t># 2. Inside the container shell: install dependencies and exit</w:t>
        <w:br/>
        <w:t>apt-get update &amp;&amp; apt-get install -y curl</w:t>
        <w:br/>
        <w:t>exit</w:t>
        <w:br/>
        <w:br/>
        <w:t># 3. Freeze the container's modifications into a version-controlled image</w:t>
        <w:br/>
        <w:t>docker commit -m "added curl network dependency" system_base custom-ubuntu:v1</w:t>
      </w:r>
    </w:p>
    <w:p>
      <w:pPr>
        <w:spacing w:before="240" w:after="120"/>
      </w:pPr>
      <w:r>
        <w:rPr>
          <w:rFonts w:ascii="Arial" w:hAnsi="Arial"/>
          <w:b/>
          <w:color w:val="003366"/>
          <w:sz w:val="28"/>
        </w:rPr>
        <w:t>3. The Spring Boot Architectural Impact Assessment</w:t>
      </w:r>
    </w:p>
    <w:p>
      <w:pPr>
        <w:spacing w:after="120"/>
      </w:pPr>
      <w:r>
        <w:rPr>
          <w:rFonts w:ascii="Calibri" w:hAnsi="Calibri"/>
          <w:sz w:val="22"/>
        </w:rPr>
        <w:t>While you technically can run docker commit on an active Spring Boot container, it is heavily considered a dangerous software anti-pattern for production application lifecycles. Below is a comprehensive breakdown of why this method should be avoided, and how it impacts your stack:</w:t>
      </w:r>
    </w:p>
    <w:p>
      <w:pPr>
        <w:pStyle w:val="ListBullet"/>
        <w:spacing w:after="80"/>
      </w:pPr>
      <w:r>
        <w:rPr>
          <w:rFonts w:ascii="Calibri" w:hAnsi="Calibri"/>
          <w:b/>
          <w:color w:val="333333"/>
          <w:sz w:val="22"/>
        </w:rPr>
        <w:t xml:space="preserve">Creates Untraceable 'Black Box' Artifacts: </w:t>
      </w:r>
      <w:r>
        <w:rPr>
          <w:rFonts w:ascii="Calibri" w:hAnsi="Calibri"/>
          <w:color w:val="333333"/>
          <w:sz w:val="22"/>
        </w:rPr>
        <w:t>Committed containers have absolutely no code traceability or version control footprint. If runtime issues occur down the line, there is no declarative document (like a Dockerfile) showing which JDK version, minor system libraries, or configurations are living inside that specific build layer.</w:t>
      </w:r>
    </w:p>
    <w:p>
      <w:pPr>
        <w:pStyle w:val="ListBullet"/>
        <w:spacing w:after="80"/>
      </w:pPr>
      <w:r>
        <w:rPr>
          <w:rFonts w:ascii="Calibri" w:hAnsi="Calibri"/>
          <w:b/>
          <w:color w:val="333333"/>
          <w:sz w:val="22"/>
        </w:rPr>
        <w:t xml:space="preserve">Causes Severe Layer Bloat &amp; Large Files: </w:t>
      </w:r>
      <w:r>
        <w:rPr>
          <w:rFonts w:ascii="Calibri" w:hAnsi="Calibri"/>
          <w:color w:val="333333"/>
          <w:sz w:val="22"/>
        </w:rPr>
        <w:t>Spring Boot web frameworks are highly dynamic; upon startup, they unpack runtime files, write embedded log histories, and create persistent OS file caches. Running docker commit permanently bakes these dirty, floating runtime artifacts straight into the base image structure, severely bloating overall asset sizing.</w:t>
      </w:r>
    </w:p>
    <w:p>
      <w:pPr>
        <w:pStyle w:val="ListBullet"/>
        <w:spacing w:after="80"/>
      </w:pPr>
      <w:r>
        <w:rPr>
          <w:rFonts w:ascii="Calibri" w:hAnsi="Calibri"/>
          <w:b/>
          <w:color w:val="333333"/>
          <w:sz w:val="22"/>
        </w:rPr>
        <w:t xml:space="preserve">Exposes Systems to Critical Security Vulnerabilities: </w:t>
      </w:r>
      <w:r>
        <w:rPr>
          <w:rFonts w:ascii="Calibri" w:hAnsi="Calibri"/>
          <w:color w:val="333333"/>
          <w:sz w:val="22"/>
        </w:rPr>
        <w:t>If a critical zero-day bug or security flaw hits your parent environment or Java dependencies, a committed container cannot be rebuilt automatically. You would be forced to manually boot the container up, execute patches by hand, and re-commit, exposing systems to human error.</w:t>
      </w:r>
    </w:p>
    <w:p>
      <w:pPr>
        <w:spacing w:before="240" w:after="80"/>
      </w:pPr>
      <w:r>
        <w:rPr>
          <w:rFonts w:ascii="Arial" w:hAnsi="Arial"/>
          <w:b/>
          <w:color w:val="003366"/>
          <w:sz w:val="24"/>
        </w:rPr>
        <w:t>Production Alternatives Matrix for Spring Boot Environments</w:t>
      </w:r>
    </w:p>
    <w:tbl>
      <w:tblPr>
        <w:tblW w:type="auto" w:w="0"/>
        <w:jc w:val="center"/>
        <w:tblLook w:firstColumn="1" w:firstRow="1" w:lastColumn="0" w:lastRow="0" w:noHBand="0" w:noVBand="1" w:val="04A0"/>
        <w:tblBorders>
          <w:top w:val="single" w:sz="4" w:space="0" w:color="CCCCCC"/>
          <w:left w:val="none"/>
          <w:bottom w:val="single" w:sz="6" w:space="0" w:color="CCCCCC"/>
          <w:right w:val="none"/>
          <w:insideH w:val="single" w:sz="4" w:space="0" w:color="CCCCCC"/>
          <w:insideV w:val="none"/>
        </w:tblBorders>
      </w:tblPr>
      <w:tblGrid>
        <w:gridCol w:w="3600"/>
        <w:gridCol w:w="3600"/>
        <w:gridCol w:w="3600"/>
      </w:tblGrid>
      <w:tr>
        <w:tc>
          <w:tcPr>
            <w:tcW w:type="dxa" w:w="2592"/>
            <w:shd w:fill="003366"/>
            <w:tcMar>
              <w:top w:w="120" w:type="dxa"/>
              <w:bottom w:w="120" w:type="dxa"/>
              <w:left w:w="150" w:type="dxa"/>
              <w:right w:w="150" w:type="dxa"/>
            </w:tcMar>
          </w:tcPr>
          <w:p>
            <w:pPr>
              <w:jc w:val="left"/>
            </w:pPr>
            <w:r>
              <w:rPr>
                <w:rFonts w:ascii="Arial" w:hAnsi="Arial"/>
                <w:b/>
                <w:color w:val="FFFFFF"/>
                <w:sz w:val="20"/>
              </w:rPr>
              <w:t>Deployment Method</w:t>
            </w:r>
          </w:p>
        </w:tc>
        <w:tc>
          <w:tcPr>
            <w:tcW w:type="dxa" w:w="3888"/>
            <w:shd w:fill="003366"/>
            <w:tcMar>
              <w:top w:w="120" w:type="dxa"/>
              <w:bottom w:w="120" w:type="dxa"/>
              <w:left w:w="150" w:type="dxa"/>
              <w:right w:w="150" w:type="dxa"/>
            </w:tcMar>
          </w:tcPr>
          <w:p>
            <w:pPr>
              <w:jc w:val="left"/>
            </w:pPr>
            <w:r>
              <w:rPr>
                <w:rFonts w:ascii="Arial" w:hAnsi="Arial"/>
                <w:b/>
                <w:color w:val="FFFFFF"/>
                <w:sz w:val="20"/>
              </w:rPr>
              <w:t>Target Use Case</w:t>
            </w:r>
          </w:p>
        </w:tc>
        <w:tc>
          <w:tcPr>
            <w:tcW w:type="dxa" w:w="4320"/>
            <w:shd w:fill="003366"/>
            <w:tcMar>
              <w:top w:w="120" w:type="dxa"/>
              <w:bottom w:w="120" w:type="dxa"/>
              <w:left w:w="150" w:type="dxa"/>
              <w:right w:w="150" w:type="dxa"/>
            </w:tcMar>
          </w:tcPr>
          <w:p>
            <w:pPr>
              <w:jc w:val="left"/>
            </w:pPr>
            <w:r>
              <w:rPr>
                <w:rFonts w:ascii="Arial" w:hAnsi="Arial"/>
                <w:b/>
                <w:color w:val="FFFFFF"/>
                <w:sz w:val="20"/>
              </w:rPr>
              <w:t>Implementation Command</w:t>
            </w:r>
          </w:p>
        </w:tc>
      </w:tr>
      <w:tr>
        <w:tc>
          <w:tcPr>
            <w:tcW w:type="dxa" w:w="2592"/>
            <w:shd w:fill="FFFFFF"/>
            <w:tcMar>
              <w:top w:w="100" w:type="dxa"/>
              <w:bottom w:w="100" w:type="dxa"/>
              <w:left w:w="150" w:type="dxa"/>
              <w:right w:w="150" w:type="dxa"/>
            </w:tcMar>
          </w:tcPr>
          <w:p>
            <w:pPr>
              <w:jc w:val="left"/>
            </w:pPr>
            <w:r>
              <w:rPr>
                <w:rFonts w:ascii="Calibri" w:hAnsi="Calibri"/>
                <w:color w:val="333333"/>
                <w:sz w:val="20"/>
              </w:rPr>
              <w:t>Standard Dockerfile Build</w:t>
            </w:r>
          </w:p>
        </w:tc>
        <w:tc>
          <w:tcPr>
            <w:tcW w:type="dxa" w:w="3888"/>
            <w:shd w:fill="FFFFFF"/>
            <w:tcMar>
              <w:top w:w="100" w:type="dxa"/>
              <w:bottom w:w="100" w:type="dxa"/>
              <w:left w:w="150" w:type="dxa"/>
              <w:right w:w="150" w:type="dxa"/>
            </w:tcMar>
          </w:tcPr>
          <w:p>
            <w:pPr>
              <w:jc w:val="left"/>
            </w:pPr>
            <w:r>
              <w:rPr>
                <w:rFonts w:ascii="Calibri" w:hAnsi="Calibri"/>
                <w:color w:val="333333"/>
                <w:sz w:val="20"/>
              </w:rPr>
              <w:t>Granular, granular control over specific system dependencies, custom native tools, layered file structures, and precise image tag versioning.</w:t>
            </w:r>
          </w:p>
        </w:tc>
        <w:tc>
          <w:tcPr>
            <w:tcW w:type="dxa" w:w="4320"/>
            <w:shd w:fill="FFFFFF"/>
            <w:tcMar>
              <w:top w:w="100" w:type="dxa"/>
              <w:bottom w:w="100" w:type="dxa"/>
              <w:left w:w="150" w:type="dxa"/>
              <w:right w:w="150" w:type="dxa"/>
            </w:tcMar>
          </w:tcPr>
          <w:p>
            <w:pPr>
              <w:jc w:val="left"/>
            </w:pPr>
            <w:r>
              <w:rPr>
                <w:rFonts w:ascii="Consolas" w:hAnsi="Consolas"/>
                <w:color w:val="333333"/>
                <w:sz w:val="19"/>
              </w:rPr>
              <w:t>docker build -t spring-app:v1 .</w:t>
            </w:r>
          </w:p>
        </w:tc>
      </w:tr>
      <w:tr>
        <w:tc>
          <w:tcPr>
            <w:tcW w:type="dxa" w:w="2592"/>
            <w:shd w:fill="F4F6F8"/>
            <w:tcMar>
              <w:top w:w="100" w:type="dxa"/>
              <w:bottom w:w="100" w:type="dxa"/>
              <w:left w:w="150" w:type="dxa"/>
              <w:right w:w="150" w:type="dxa"/>
            </w:tcMar>
          </w:tcPr>
          <w:p>
            <w:pPr>
              <w:jc w:val="left"/>
            </w:pPr>
            <w:r>
              <w:rPr>
                <w:rFonts w:ascii="Calibri" w:hAnsi="Calibri"/>
                <w:color w:val="333333"/>
                <w:sz w:val="20"/>
              </w:rPr>
              <w:t>Cloud Native Buildpacks</w:t>
            </w:r>
          </w:p>
        </w:tc>
        <w:tc>
          <w:tcPr>
            <w:tcW w:type="dxa" w:w="3888"/>
            <w:shd w:fill="F4F6F8"/>
            <w:tcMar>
              <w:top w:w="100" w:type="dxa"/>
              <w:bottom w:w="100" w:type="dxa"/>
              <w:left w:w="150" w:type="dxa"/>
              <w:right w:w="150" w:type="dxa"/>
            </w:tcMar>
          </w:tcPr>
          <w:p>
            <w:pPr>
              <w:jc w:val="left"/>
            </w:pPr>
            <w:r>
              <w:rPr>
                <w:rFonts w:ascii="Calibri" w:hAnsi="Calibri"/>
                <w:color w:val="333333"/>
                <w:sz w:val="20"/>
              </w:rPr>
              <w:t>Compiling production images natively straight out of Maven or Gradle build managers without manually writing or maintaining Dockerfiles.</w:t>
            </w:r>
          </w:p>
        </w:tc>
        <w:tc>
          <w:tcPr>
            <w:tcW w:type="dxa" w:w="4320"/>
            <w:shd w:fill="F4F6F8"/>
            <w:tcMar>
              <w:top w:w="100" w:type="dxa"/>
              <w:bottom w:w="100" w:type="dxa"/>
              <w:left w:w="150" w:type="dxa"/>
              <w:right w:w="150" w:type="dxa"/>
            </w:tcMar>
          </w:tcPr>
          <w:p>
            <w:pPr>
              <w:jc w:val="left"/>
            </w:pPr>
            <w:r>
              <w:rPr>
                <w:rFonts w:ascii="Consolas" w:hAnsi="Consolas"/>
                <w:color w:val="333333"/>
                <w:sz w:val="19"/>
              </w:rPr>
              <w:t>./mvnw spring-boot:build-image</w:t>
              <w:br/>
              <w:t>OR</w:t>
              <w:br/>
              <w:t>./gradlew bootBuildImage</w:t>
            </w:r>
          </w:p>
        </w:tc>
      </w:tr>
    </w:tbl>
    <w:p>
      <w:pPr>
        <w:spacing w:before="240" w:after="120"/>
      </w:pPr>
      <w:r>
        <w:rPr>
          <w:rFonts w:ascii="Arial" w:hAnsi="Arial"/>
          <w:b/>
          <w:color w:val="003366"/>
          <w:sz w:val="28"/>
        </w:rPr>
        <w:t>4. Sanctioned Operational Use Cases</w:t>
      </w:r>
    </w:p>
    <w:p>
      <w:pPr>
        <w:spacing w:after="80"/>
      </w:pPr>
      <w:r>
        <w:rPr>
          <w:rFonts w:ascii="Calibri" w:hAnsi="Calibri"/>
          <w:b/>
        </w:rPr>
        <w:t>When is it appropriate to utilize docker commit?</w:t>
      </w:r>
    </w:p>
    <w:p>
      <w:pPr>
        <w:pStyle w:val="ListBullet"/>
        <w:spacing w:after="60"/>
      </w:pPr>
      <w:r>
        <w:rPr>
          <w:rFonts w:ascii="Calibri" w:hAnsi="Calibri"/>
          <w:b/>
          <w:color w:val="333333"/>
          <w:sz w:val="22"/>
        </w:rPr>
        <w:t xml:space="preserve">Live Debugging &amp; Root Cause Auditing: </w:t>
      </w:r>
      <w:r>
        <w:rPr>
          <w:rFonts w:ascii="Calibri" w:hAnsi="Calibri"/>
          <w:color w:val="333333"/>
          <w:sz w:val="22"/>
        </w:rPr>
        <w:t>Capturing broken environment configurations or crashed components in test environments to evaluate live internal file logs locally.</w:t>
      </w:r>
    </w:p>
    <w:p>
      <w:pPr>
        <w:pStyle w:val="ListBullet"/>
        <w:spacing w:after="60"/>
      </w:pPr>
      <w:r>
        <w:rPr>
          <w:rFonts w:ascii="Calibri" w:hAnsi="Calibri"/>
          <w:b/>
          <w:color w:val="333333"/>
          <w:sz w:val="22"/>
        </w:rPr>
        <w:t xml:space="preserve">Security Incident Response &amp; Forensics: </w:t>
      </w:r>
      <w:r>
        <w:rPr>
          <w:rFonts w:ascii="Calibri" w:hAnsi="Calibri"/>
          <w:color w:val="333333"/>
          <w:sz w:val="22"/>
        </w:rPr>
        <w:t>Freezing compromised or exploited system containers to safely preserve malicious state structures for security isolation analysis.</w:t>
      </w:r>
    </w:p>
    <w:p>
      <w:pPr>
        <w:pStyle w:val="ListBullet"/>
        <w:spacing w:after="60"/>
      </w:pPr>
      <w:r>
        <w:rPr>
          <w:rFonts w:ascii="Calibri" w:hAnsi="Calibri"/>
          <w:b/>
          <w:color w:val="333333"/>
          <w:sz w:val="22"/>
        </w:rPr>
        <w:t xml:space="preserve">Rapid Prototyping Sandbox: </w:t>
      </w:r>
      <w:r>
        <w:rPr>
          <w:rFonts w:ascii="Calibri" w:hAnsi="Calibri"/>
          <w:color w:val="333333"/>
          <w:sz w:val="22"/>
        </w:rPr>
        <w:t>Temporarily retaining experimental script changes before transcribing the steps into a formal, declarative project Dockerfile.</w:t>
      </w:r>
    </w:p>
    <w:sectPr w:rsidR="00FC693F" w:rsidRPr="0006063C" w:rsidSect="00034616">
      <w:headerReference w:type="default" r:id="rId9"/>
      <w:footerReference w:type="default" r:id="rId1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Technical Reference Document  |  Page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Docker Administration Reference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80808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808080"/>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