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From Emulation to AI-Enabled Replication: How Console Platform Owners Govern the Execution of Their Games Outside the Console</w:t>
      </w:r>
    </w:p>
    <w:p>
      <w:pPr>
        <w:spacing w:after="360"/>
        <w:jc w:val="center"/>
      </w:pPr>
      <w:r>
        <w:t xml:space="preserve">[Name] · [Student ID] · Digital Platform Research (MAC613) · Final Paper Proposal</w:t>
      </w:r>
    </w:p>
    <w:p>
      <w:pPr>
        <w:pStyle w:val="Heading1"/>
      </w:pPr>
      <w:r>
        <w:t xml:space="preserve">1. Research Background</w:t>
      </w:r>
    </w:p>
    <w:p>
      <w:pPr>
        <w:jc w:val="both"/>
      </w:pPr>
      <w:r>
        <w:t xml:space="preserve">Video game consoles are a widely cited example of two-sided markets, in which a platform owner connects players on one side with game developers on the other (Rochet &amp; Tirole, 2003). In this proposal, a platform owner is the firm that operates a console platform (Sony, Microsoft, or Nintendo), and a complementor is a game developer or publisher that supplies games for the platform. Platform owners also act as complementors through their in-house studios. Exclusive titles are a primary competitive instrument in this market because they give players a reason to adopt one console rather than another. The console segment remains economically significant: according to Newzoo, global games revenue reached USD 201.6 billion in 2025, with consoles accounting for approximately 22%.</w:t>
      </w:r>
      <w:r>
        <w:rPr>
          <w:rStyle w:val="FootnoteReference"/>
        </w:rPr>
        <w:footnoteReference w:id="1"/>
      </w:r>
      <w:r>
        <w:t xml:space="preserve"> As of 30 June 2026, cumulative shipments of PlayStation 5 reportedly reached 95.3 million units.</w:t>
      </w:r>
      <w:r>
        <w:rPr>
          <w:rStyle w:val="FootnoteReference"/>
        </w:rPr>
        <w:footnoteReference w:id="2"/>
      </w:r>
      <w:r>
        <w:t xml:space="preserve"> According to Nintendo, cumulative shipments of the Nintendo Switch stood at 156.59 million units and those of the Nintendo Switch 2 at 23.68 million units as of the same date.</w:t>
      </w:r>
      <w:r>
        <w:rPr>
          <w:rStyle w:val="FootnoteReference"/>
        </w:rPr>
        <w:footnoteReference w:id="3"/>
      </w:r>
    </w:p>
    <w:p>
      <w:pPr>
        <w:jc w:val="both"/>
      </w:pPr>
      <w:r>
        <w:t xml:space="preserve">Attempts to run console games outside the console have a long history. Throughout this proposal, "running console games outside the console" is a descriptive phrase, not a technical concept. It refers to cases in which a game that was released for a particular console runs on a PC, in a web browser, or on another device without authorization from the platform owner. Two practices make this possible. Emulation refers to reproducing the original hardware and its operating system in software in order to run the original game binary. Decompilation-based porting refers to recovering source code from a binary and rebuilding it for a different environment; this category includes static recompilation and browser ports. In </w:t>
      </w:r>
      <w:r>
        <w:rPr>
          <w:i/>
          <w:iCs/>
        </w:rPr>
        <w:t xml:space="preserve">Sony Computer Entertainment v. Connectix Corporation</w:t>
      </w:r>
      <w:r>
        <w:t xml:space="preserve"> (2000), a U.S. court held that copying the console BIOS during the development of an emulator was fair use. However, the time required for an emulator to reach the point at which it could run a flagship title of a given console generation was reportedly about 11 years from the launch of the console, in the cases of the PlayStation 3 and PlayStation 4.</w:t>
      </w:r>
      <w:r>
        <w:rPr>
          <w:rStyle w:val="FootnoteReference"/>
        </w:rPr>
        <w:footnoteReference w:id="4"/>
      </w:r>
      <w:r>
        <w:t xml:space="preserve"> A full decompilation of </w:t>
      </w:r>
      <w:r>
        <w:rPr>
          <w:i/>
          <w:iCs/>
        </w:rPr>
        <w:t xml:space="preserve">Super Smash Bros. Melee</w:t>
      </w:r>
      <w:r>
        <w:t xml:space="preserve"> took six years, according to decomp.dev.</w:t>
      </w:r>
      <w:r>
        <w:rPr>
          <w:rStyle w:val="FootnoteReference"/>
        </w:rPr>
        <w:footnoteReference w:id="5"/>
      </w:r>
      <w:r>
        <w:t xml:space="preserve"> Platform owners have responded primarily through legal enforcement. In March 2024, Nintendo reportedly reached a USD 2.4 million settlement with Tropic Haze, the developer of the Switch emulator Yuzu; the legal basis was reportedly the Digital Millennium Copyright Act (DMCA) prohibition on trafficking in circumvention tools, together with contributory infringement, rather than emulation itself.</w:t>
      </w:r>
      <w:r>
        <w:rPr>
          <w:rStyle w:val="FootnoteReference"/>
        </w:rPr>
        <w:footnoteReference w:id="6"/>
      </w:r>
      <w:r>
        <w:t xml:space="preserve"> In May 2024, Nintendo reportedly used a single DMCA notice to remove 8,535 repositories that copied Yuzu from GitHub.</w:t>
      </w:r>
      <w:r>
        <w:rPr>
          <w:rStyle w:val="FootnoteReference"/>
        </w:rPr>
        <w:footnoteReference w:id="7"/>
      </w:r>
      <w:r>
        <w:t xml:space="preserve"> The Dolphin emulator's planned release on Steam was reportedly abandoned in mid-2023 following a request from Nintendo.</w:t>
      </w:r>
      <w:r>
        <w:rPr>
          <w:rStyle w:val="FootnoteReference"/>
        </w:rPr>
        <w:footnoteReference w:id="8"/>
      </w:r>
    </w:p>
    <w:p>
      <w:pPr>
        <w:jc w:val="both"/>
      </w:pPr>
      <w:r>
        <w:t xml:space="preserve">Beginning in late 2025, records emerged indicating that AI coding agents were reducing both the time and the expertise required for decompilation and porting. According to the developer's own account, </w:t>
      </w:r>
      <w:r>
        <w:rPr>
          <w:i/>
          <w:iCs/>
        </w:rPr>
        <w:t xml:space="preserve">Snowboard Kids</w:t>
      </w:r>
      <w:r>
        <w:t xml:space="preserve"> for the Nintendo 64 was decompiled to a 100% match in 84 days.</w:t>
      </w:r>
      <w:r>
        <w:rPr>
          <w:rStyle w:val="FootnoteReference"/>
        </w:rPr>
        <w:footnoteReference w:id="9"/>
      </w:r>
      <w:r>
        <w:t xml:space="preserve"> In the psxrecomp project, a static recompiler for PlayStation games, 1,519 of 3,123 commits were AI co-authored; the developer describes themselves as having no prior experience in the field.</w:t>
      </w:r>
      <w:r>
        <w:rPr>
          <w:rStyle w:val="FootnoteReference"/>
        </w:rPr>
        <w:footnoteReference w:id="10"/>
      </w:r>
      <w:r>
        <w:t xml:space="preserve"> The commit history of the PPSSPP emulator shows zero Claude co-authored commits through June 2026, followed by 543 such commits between 1 and 14 October 2026; because developers add labels of AI co-authorship voluntarily, these figures represent lower bounds on actual AI involvement.</w:t>
      </w:r>
      <w:r>
        <w:rPr>
          <w:rStyle w:val="FootnoteReference"/>
        </w:rPr>
        <w:footnoteReference w:id="11"/>
      </w:r>
      <w:r>
        <w:t xml:space="preserve"> In September and October 2026, browser-based ports of </w:t>
      </w:r>
      <w:r>
        <w:rPr>
          <w:i/>
          <w:iCs/>
        </w:rPr>
        <w:t xml:space="preserve">Halo: Combat Evolved</w:t>
      </w:r>
      <w:r>
        <w:t xml:space="preserve">, </w:t>
      </w:r>
      <w:r>
        <w:rPr>
          <w:i/>
          <w:iCs/>
        </w:rPr>
        <w:t xml:space="preserve">Call of Duty: Black Ops</w:t>
      </w:r>
      <w:r>
        <w:t xml:space="preserve">, and </w:t>
      </w:r>
      <w:r>
        <w:rPr>
          <w:i/>
          <w:iCs/>
        </w:rPr>
        <w:t xml:space="preserve">GTA: Vice City</w:t>
      </w:r>
      <w:r>
        <w:t xml:space="preserve"> reportedly appeared.</w:t>
      </w:r>
      <w:r>
        <w:rPr>
          <w:rStyle w:val="FootnoteReference"/>
        </w:rPr>
        <w:footnoteReference w:id="12"/>
      </w:r>
      <w:r>
        <w:t xml:space="preserve"> This study uses the term </w:t>
      </w:r>
      <w:r>
        <w:rPr>
          <w:i/>
          <w:iCs/>
        </w:rPr>
        <w:t xml:space="preserve">AI-enabled replication</w:t>
      </w:r>
      <w:r>
        <w:t xml:space="preserve"> to refer to carrying out decompilation and porting with the assistance of AI coding agents. The term identifies the object under examination; it is not treated in advance as a concept distinct from earlier practices.</w:t>
      </w:r>
    </w:p>
    <w:p>
      <w:pPr>
        <w:jc w:val="both"/>
      </w:pPr>
      <w:r>
        <w:t xml:space="preserve">The responses of console platform owners have diverged, and a form of response that was not observed in the earlier period, absorption, has appeared (Table 1). Whether these developments represent merely an acceleration of an existing phenomenon or constitute something qualitatively new that existing concepts cannot fully explain remains an open question.</w:t>
      </w:r>
    </w:p>
    <w:p>
      <w:pPr>
        <w:keepNext/>
        <w:jc w:val="left"/>
      </w:pPr>
      <w:r>
        <w:rPr>
          <w:b/>
          <w:bCs/>
        </w:rPr>
        <w:t xml:space="preserve">Table 1. Selected events and platform-owner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842"/>
        <w:gridCol w:w="2707"/>
        <w:gridCol w:w="3610"/>
        <w:gridCol w:w="1266"/>
      </w:tblGrid>
      <w:tr>
        <w:trPr>
          <w:cantSplit/>
          <w:tblHeader/>
        </w:trPr>
        <w:tc>
          <w:tcPr>
            <w:tcW w:type="dxa" w:w="60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Period</w:t>
            </w:r>
          </w:p>
        </w:tc>
        <w:tc>
          <w:tcPr>
            <w:tcW w:type="dxa" w:w="842"/>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Date</w:t>
            </w:r>
          </w:p>
        </w:tc>
        <w:tc>
          <w:tcPr>
            <w:tcW w:type="dxa" w:w="2707"/>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Actor</w:t>
            </w:r>
          </w:p>
        </w:tc>
        <w:tc>
          <w:tcPr>
            <w:tcW w:type="dxa" w:w="361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Event or response</w:t>
            </w:r>
          </w:p>
        </w:tc>
        <w:tc>
          <w:tcPr>
            <w:tcW w:type="dxa" w:w="12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Source</w:t>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May–Jul 2023</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 / Valve</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Dolphin's planned Steam release abandoned after Nintendo's request</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sz w:val="18"/>
                <w:szCs w:val="18"/>
                <w:vertAlign w:val="superscript"/>
              </w:rPr>
              <w:t xml:space="preserve">8</w:t>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Mar 2024</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USD 2.4 million settlement with Yuzu developer (Tropic Haze); legal basis: DMCA anti-circumvention and contributory infringement</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sz w:val="18"/>
                <w:szCs w:val="18"/>
                <w:vertAlign w:val="superscript"/>
              </w:rPr>
              <w:t xml:space="preserve">6</w:t>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Pre-agent</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 2024</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8,535 repositories that copied Yuzu removed with a single DMCA notice</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sz w:val="18"/>
                <w:szCs w:val="18"/>
                <w:vertAlign w:val="superscript"/>
              </w:rPr>
              <w:t xml:space="preserve">7</w:t>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Dec 2025</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Take-Two</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DMCA request against the DOS.Zone browser version of </w:t>
            </w:r>
            <w:r>
              <w:rPr>
                <w:i/>
                <w:iCs/>
                <w:sz w:val="18"/>
                <w:szCs w:val="18"/>
              </w:rPr>
              <w:t xml:space="preserve">GTA: Vice City</w:t>
            </w:r>
            <w:r>
              <w:rPr>
                <w:sz w:val="18"/>
                <w:szCs w:val="18"/>
              </w:rPr>
              <w:t xml:space="preserve">; whether AI was used in this port is unknown</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rStyle w:val="FootnoteReference"/>
              </w:rPr>
              <w:footnoteReference w:id="13"/>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Mar 2026</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Microsoft</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Announced that the next console, Project Helix, is "designed to play console and PC games"</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Primary source</w:t>
            </w:r>
            <w:r>
              <w:rPr>
                <w:rStyle w:val="FootnoteReference"/>
              </w:rPr>
              <w:footnoteReference w:id="14"/>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May 2026</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Sony</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According to Bloomberg's Jason Schreier, PlayStation head Hermen Hulst said at an internal town hall that "narrative single-player games will now be PlayStation exclusive"; the PC port of </w:t>
            </w:r>
            <w:r>
              <w:rPr>
                <w:i/>
                <w:iCs/>
                <w:sz w:val="18"/>
                <w:szCs w:val="18"/>
              </w:rPr>
              <w:t xml:space="preserve">Ghost of Yōtei</w:t>
            </w:r>
            <w:r>
              <w:rPr>
                <w:sz w:val="18"/>
                <w:szCs w:val="18"/>
              </w:rPr>
              <w:t xml:space="preserve"> was reportedly cancelled</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rStyle w:val="FootnoteReference"/>
              </w:rPr>
              <w:footnoteReference w:id="15"/>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17 Aug 2026</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Nintendo</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401 repositories of Switch emulators removed with seven DMCA notices</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rStyle w:val="FootnoteReference"/>
              </w:rPr>
              <w:footnoteReference w:id="16"/>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Early Oct 2026</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ZeniMax / Activision (Microsoft subsidiaries)</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ZeniMax sent a cease-and-desist against the browser game </w:t>
            </w:r>
            <w:r>
              <w:rPr>
                <w:i/>
                <w:iCs/>
                <w:sz w:val="18"/>
                <w:szCs w:val="18"/>
              </w:rPr>
              <w:t xml:space="preserve">Fallout: New York</w:t>
            </w:r>
            <w:r>
              <w:rPr>
                <w:sz w:val="18"/>
                <w:szCs w:val="18"/>
              </w:rPr>
              <w:t xml:space="preserve">, reportedly citing its obligations as trademark holder; Activision issued DMCA takedowns of AI-built </w:t>
            </w:r>
            <w:r>
              <w:rPr>
                <w:i/>
                <w:iCs/>
                <w:sz w:val="18"/>
                <w:szCs w:val="18"/>
              </w:rPr>
              <w:t xml:space="preserve">Call of Duty</w:t>
            </w:r>
            <w:r>
              <w:rPr>
                <w:sz w:val="18"/>
                <w:szCs w:val="18"/>
              </w:rPr>
              <w:t xml:space="preserve"> browser ports</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Reportedly</w:t>
            </w:r>
            <w:r>
              <w:rPr>
                <w:rStyle w:val="FootnoteReference"/>
              </w:rPr>
              <w:footnoteReference w:id="17"/>
            </w:r>
            <w:r>
              <w:rPr>
                <w:sz w:val="18"/>
                <w:szCs w:val="18"/>
              </w:rPr>
              <w:t xml:space="preserve"> </w:t>
            </w:r>
            <w:r>
              <w:rPr>
                <w:rStyle w:val="FootnoteReference"/>
              </w:rPr>
              <w:footnoteReference w:id="18"/>
            </w:r>
          </w:p>
        </w:tc>
      </w:tr>
      <w:tr>
        <w:trPr>
          <w:cantSplit/>
          <w:tblHeader w:val="false"/>
        </w:trPr>
        <w:tc>
          <w:tcPr>
            <w:tcW w:type="dxa" w:w="60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AI-enabled</w:t>
            </w:r>
          </w:p>
        </w:tc>
        <w:tc>
          <w:tcPr>
            <w:tcW w:type="dxa" w:w="84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13 Oct 2026</w:t>
            </w:r>
          </w:p>
        </w:tc>
        <w:tc>
          <w:tcPr>
            <w:tcW w:type="dxa" w:w="270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Microsoft</w:t>
            </w:r>
          </w:p>
        </w:tc>
        <w:tc>
          <w:tcPr>
            <w:tcW w:type="dxa" w:w="36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Launched Xbox Labs; a memo from Xbox CEO Asha Sharma stated: "unmistakably good outcomes for players, even when (and sometimes because) they challenge our existing business models"</w:t>
            </w:r>
          </w:p>
        </w:tc>
        <w:tc>
          <w:tcPr>
            <w:tcW w:type="dxa" w:w="12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Quoted in report</w:t>
            </w:r>
            <w:r>
              <w:rPr>
                <w:rStyle w:val="FootnoteReference"/>
              </w:rPr>
              <w:footnoteReference w:id="19"/>
            </w:r>
          </w:p>
        </w:tc>
      </w:tr>
    </w:tbl>
    <w:p>
      <w:pPr>
        <w:spacing w:after="0"/>
      </w:pPr>
    </w:p>
    <w:p>
      <w:pPr>
        <w:jc w:val="both"/>
      </w:pPr>
      <w:r>
        <w:rPr>
          <w:i/>
          <w:iCs/>
        </w:rPr>
        <w:t xml:space="preserve">Note.</w:t>
      </w:r>
      <w:r>
        <w:t xml:space="preserve"> Periods are assigned by date only. An event listed in the AI-enabled period does not imply that AI was used in that event.</w:t>
      </w:r>
    </w:p>
    <w:p>
      <w:pPr>
        <w:pStyle w:val="Heading1"/>
      </w:pPr>
      <w:r>
        <w:t xml:space="preserve">2. Research Purpose and Significance</w:t>
      </w:r>
    </w:p>
    <w:p>
      <w:pPr>
        <w:jc w:val="both"/>
      </w:pPr>
      <w:r>
        <w:t xml:space="preserve">This study has two purposes. First, it examines whether AI-enabled replication differs from earlier ways of running console games outside the console and, if so, identifies the dimensions along which the differences occur. Second, it investigates whether the governance responses of Sony, Microsoft, and Nintendo changed between the pre-agent period and the AI-enabled period, and it explains why those responses vary across the three firms.</w:t>
      </w:r>
    </w:p>
    <w:p>
      <w:pPr>
        <w:jc w:val="both"/>
      </w:pPr>
      <w:r>
        <w:t xml:space="preserve">The study is motivated by three gaps. The first is theoretical. Research on two-sided platforms has treated multihoming as a choice that users and complementors make, and piracy as the unauthorized copying of original files. The phenomenon in which a third party makes it possible to run a complement in an environment that the platform owner did not authorize does not fit neatly into either of these concepts. This study begins by establishing how far existing concepts explain the phenomenon before assessing whether a new concept is warranted.</w:t>
      </w:r>
    </w:p>
    <w:p>
      <w:pPr>
        <w:jc w:val="both"/>
      </w:pPr>
      <w:r>
        <w:t xml:space="preserve">The second gap concerns governance. Research on boundary resources has examined how platform owners balance openness and control in their relationships with authorized developers, but it has not addressed situations in which outside actors cross the platform boundary without authorization.</w:t>
      </w:r>
    </w:p>
    <w:p>
      <w:pPr>
        <w:jc w:val="both"/>
      </w:pPr>
      <w:r>
        <w:t xml:space="preserve">The third gap involves timeliness and policy relevance. AI-assisted coding represents a technological transition for the platform industry. In the United States, the rulemaking on exemptions under Section 1201 of the DMCA for 2027 began on 9 June 2026, according to the U.S. Copyright Office.</w:t>
      </w:r>
      <w:r>
        <w:rPr>
          <w:rStyle w:val="FootnoteReference"/>
        </w:rPr>
        <w:footnoteReference w:id="20"/>
      </w:r>
      <w:r>
        <w:t xml:space="preserve"> In the European Union, the European Commission has reportedly indicated that it will begin discussing a voluntary code of conduct on the ending of game services by the end of 2026, in its reply to the Stop Destroying Videogames citizens' initiative.</w:t>
      </w:r>
      <w:r>
        <w:rPr>
          <w:rStyle w:val="FootnoteReference"/>
        </w:rPr>
        <w:footnoteReference w:id="21"/>
      </w:r>
    </w:p>
    <w:p>
      <w:pPr>
        <w:pStyle w:val="Heading1"/>
      </w:pPr>
      <w:r>
        <w:t xml:space="preserve">3. Theoretical Background</w:t>
      </w:r>
    </w:p>
    <w:p>
      <w:pPr>
        <w:pStyle w:val="Heading2"/>
      </w:pPr>
      <w:r>
        <w:t xml:space="preserve">3.1 Consoles as Two-Sided Platforms</w:t>
      </w:r>
    </w:p>
    <w:p>
      <w:pPr>
        <w:jc w:val="both"/>
      </w:pPr>
      <w:r>
        <w:t xml:space="preserve">A two-sided platform creates value by enabling interactions between two or more groups of participants who benefit from each other's presence (Rochet &amp; Tirole, 2003; Hagiu &amp; Wright, 2015). Video game consoles fit this model: players value a console more when it offers a larger library of games, and developers prefer to publish on consoles with a larger installed base. These interdependencies, known as cross-side network effects, shape the competitive dynamics of the market.</w:t>
      </w:r>
    </w:p>
    <w:p>
      <w:pPr>
        <w:jc w:val="both"/>
      </w:pPr>
      <w:r>
        <w:t xml:space="preserve">Exclusive content is a central competitive lever. A platform owner can secure exclusive games through contracts with complementors or through vertical integration, that is, by owning the studios that develop and publish games (Lee, 2013). Cennamo and Santaló (2013) treat such choices as part of the strategic trade-offs that platform owners face in competition. Any external development that weakens the exclusivity of a platform's game library therefore weakens a mechanism on which the platform's competitive position depends.</w:t>
      </w:r>
    </w:p>
    <w:p>
      <w:pPr>
        <w:pStyle w:val="Heading2"/>
      </w:pPr>
      <w:r>
        <w:t xml:space="preserve">3.2 Existing Concepts for Running Complements Outside the Platform</w:t>
      </w:r>
    </w:p>
    <w:p>
      <w:pPr>
        <w:jc w:val="both"/>
      </w:pPr>
      <w:r>
        <w:t xml:space="preserve">Four established concepts in the platform literature capture parts of the phenomenon under study, but none covers it entirely.</w:t>
      </w:r>
    </w:p>
    <w:p>
      <w:pPr>
        <w:jc w:val="both"/>
      </w:pPr>
      <w:r>
        <w:rPr>
          <w:i/>
          <w:iCs/>
        </w:rPr>
        <w:t xml:space="preserve">Multihoming.</w:t>
      </w:r>
      <w:r>
        <w:t xml:space="preserve"> Multihoming occurs when a user or a complementor participates in more than one platform simultaneously (Landsman &amp; Stremersch, 2011). Research in this area examines how the availability of the same game on multiple consoles affects the value of exclusive content and platform differentiation. However, multihoming is an authorized activity that reflects a decision by the publisher or the user. The phenomenon examined here is initiated by unauthorized third parties, not by the complementor or the user acting within the platform's rules.</w:t>
      </w:r>
    </w:p>
    <w:p>
      <w:pPr>
        <w:jc w:val="both"/>
      </w:pPr>
      <w:r>
        <w:rPr>
          <w:i/>
          <w:iCs/>
        </w:rPr>
        <w:t xml:space="preserve">Emulation and backward compatibility.</w:t>
      </w:r>
      <w:r>
        <w:t xml:space="preserve"> Kretschmer and Claussen (2016) studied how backward compatibility, which is the ability of a new console generation to run software from its predecessor, affects generational transitions. Unofficial emulators function as a form of unauthorized backward compatibility that extends across platforms rather than across generations. This concept covers the running of original binaries but does not account for decompilation-based porting or for mashup projects that combine assets from multiple sources.</w:t>
      </w:r>
    </w:p>
    <w:p>
      <w:pPr>
        <w:jc w:val="both"/>
      </w:pPr>
      <w:r>
        <w:rPr>
          <w:i/>
          <w:iCs/>
        </w:rPr>
        <w:t xml:space="preserve">Platform disintermediation.</w:t>
      </w:r>
      <w:r>
        <w:t xml:space="preserve"> Disintermediation occurs when participants who met through a platform conduct transactions without it (Gu &amp; Zhu, 2021). Running a console game on a PC bypasses the console as an intermediary, but the core of the phenomenon under study is the recreation of an execution environment, not a transaction between a buyer and a seller.</w:t>
      </w:r>
    </w:p>
    <w:p>
      <w:pPr>
        <w:jc w:val="both"/>
      </w:pPr>
      <w:r>
        <w:rPr>
          <w:i/>
          <w:iCs/>
        </w:rPr>
        <w:t xml:space="preserve">Piracy in two-sided markets.</w:t>
      </w:r>
      <w:r>
        <w:t xml:space="preserve"> Conner and Rumelt (1991) showed that, when network externalities are present, a software firm may benefit from not protecting its product against piracy. Rasch and Wenzel (2013) showed that, when piracy is possible, the interests of the platform owner and of developers can diverge. Kim and Kim (2025) found that users' evaluations of the legitimate platform influence their use of piracy. These analyses assume that the pirated copy is a replica of the original file. In decompilation-based porting, and particularly in projects that require users to supply their own copy of the original game data, the relationship to conventional piracy is less straightforward.</w:t>
      </w:r>
    </w:p>
    <w:p>
      <w:pPr>
        <w:jc w:val="both"/>
      </w:pPr>
      <w:r>
        <w:t xml:space="preserve">Table 2 summarizes what each concept captures and what it leaves out.</w:t>
      </w:r>
    </w:p>
    <w:p>
      <w:pPr>
        <w:keepNext/>
        <w:jc w:val="left"/>
      </w:pPr>
      <w:r>
        <w:rPr>
          <w:b/>
          <w:bCs/>
        </w:rPr>
        <w:t xml:space="preserve">Table 2. What existing concepts capture and leave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4"/>
        <w:gridCol w:w="1026"/>
        <w:gridCol w:w="1411"/>
        <w:gridCol w:w="2566"/>
        <w:gridCol w:w="2569"/>
      </w:tblGrid>
      <w:tr>
        <w:trPr>
          <w:cantSplit/>
          <w:tblHeader/>
        </w:trPr>
        <w:tc>
          <w:tcPr>
            <w:tcW w:type="dxa" w:w="145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Concept</w:t>
            </w:r>
          </w:p>
        </w:tc>
        <w:tc>
          <w:tcPr>
            <w:tcW w:type="dxa" w:w="1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Who acts</w:t>
            </w:r>
          </w:p>
        </w:tc>
        <w:tc>
          <w:tcPr>
            <w:tcW w:type="dxa" w:w="1411"/>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Platform authorization</w:t>
            </w:r>
          </w:p>
        </w:tc>
        <w:tc>
          <w:tcPr>
            <w:tcW w:type="dxa" w:w="25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What it captures</w:t>
            </w:r>
          </w:p>
        </w:tc>
        <w:tc>
          <w:tcPr>
            <w:tcW w:type="dxa" w:w="256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What it leaves out</w:t>
            </w:r>
          </w:p>
        </w:tc>
      </w:tr>
      <w:tr>
        <w:trPr>
          <w:cantSplit/>
          <w:tblHeader w:val="false"/>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Multihoming</w:t>
            </w:r>
          </w:p>
        </w:tc>
        <w:tc>
          <w:tcPr>
            <w:tcW w:type="dxa" w:w="1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Publisher, user</w:t>
            </w:r>
          </w:p>
        </w:tc>
        <w:tc>
          <w:tcPr>
            <w:tcW w:type="dxa" w:w="14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Yes</w:t>
            </w:r>
          </w:p>
        </w:tc>
        <w:tc>
          <w:tcPr>
            <w:tcW w:type="dxa" w:w="2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Effect of multi-platform participation on the value of exclusive content</w:t>
            </w: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Execution paths created by unauthorized third parties</w:t>
            </w:r>
          </w:p>
        </w:tc>
      </w:tr>
      <w:tr>
        <w:trPr>
          <w:cantSplit/>
          <w:tblHeader w:val="false"/>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Emulation / backward compatibility</w:t>
            </w:r>
          </w:p>
        </w:tc>
        <w:tc>
          <w:tcPr>
            <w:tcW w:type="dxa" w:w="1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Emulator developer</w:t>
            </w:r>
          </w:p>
        </w:tc>
        <w:tc>
          <w:tcPr>
            <w:tcW w:type="dxa" w:w="14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 (unofficial) or Yes (official)</w:t>
            </w:r>
          </w:p>
        </w:tc>
        <w:tc>
          <w:tcPr>
            <w:tcW w:type="dxa" w:w="2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Running original binaries on different hardware</w:t>
            </w: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Source-code recovery, native or browser ports, mashups</w:t>
            </w:r>
          </w:p>
        </w:tc>
      </w:tr>
      <w:tr>
        <w:trPr>
          <w:cantSplit/>
          <w:tblHeader w:val="false"/>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Disintermediation</w:t>
            </w:r>
          </w:p>
        </w:tc>
        <w:tc>
          <w:tcPr>
            <w:tcW w:type="dxa" w:w="1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Transaction participants</w:t>
            </w:r>
          </w:p>
        </w:tc>
        <w:tc>
          <w:tcPr>
            <w:tcW w:type="dxa" w:w="14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w:t>
            </w:r>
          </w:p>
        </w:tc>
        <w:tc>
          <w:tcPr>
            <w:tcW w:type="dxa" w:w="2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Transactions conducted without the platform</w:t>
            </w: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Substitution of the execution environment, not of a transaction</w:t>
            </w:r>
          </w:p>
        </w:tc>
      </w:tr>
      <w:tr>
        <w:trPr>
          <w:cantSplit/>
          <w:tblHeader w:val="false"/>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Piracy in two-sided markets</w:t>
            </w:r>
          </w:p>
        </w:tc>
        <w:tc>
          <w:tcPr>
            <w:tcW w:type="dxa" w:w="1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User</w:t>
            </w:r>
          </w:p>
        </w:tc>
        <w:tc>
          <w:tcPr>
            <w:tcW w:type="dxa" w:w="14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No</w:t>
            </w:r>
          </w:p>
        </w:tc>
        <w:tc>
          <w:tcPr>
            <w:tcW w:type="dxa" w:w="2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Effect of copying original files on platform and developer interests</w:t>
            </w:r>
          </w:p>
        </w:tc>
        <w:tc>
          <w:tcPr>
            <w:tcW w:type="dxa" w:w="256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Ports that require user-supplied original data and are not copies</w:t>
            </w:r>
          </w:p>
        </w:tc>
      </w:tr>
    </w:tbl>
    <w:p>
      <w:pPr>
        <w:spacing w:after="0"/>
      </w:pPr>
    </w:p>
    <w:p>
      <w:pPr>
        <w:pStyle w:val="Heading2"/>
      </w:pPr>
      <w:r>
        <w:t xml:space="preserve">3.3 Platform Governance and Boundary Resources</w:t>
      </w:r>
    </w:p>
    <w:p>
      <w:pPr>
        <w:jc w:val="both"/>
      </w:pPr>
      <w:r>
        <w:t xml:space="preserve">Platform owners function as private regulators that set and enforce rules governing the participation of complementors and users (Boudreau &amp; Hagiu, 2009). Governance operates in large part through boundary resources: the software tools and regulations that serve as the interface between the platform and external developers (Ghazawneh &amp; Henfridsson, 2013). Platform owners use boundary resources to balance two competing objectives: resourcing, which opens the platform in order to stimulate external development, and securing, which restricts access in order to maintain control. Eaton et al. (2015) showed that boundary resources evolve through distributed tuning, a process in which multiple actors, including third-party developers, shape the interface over time.</w:t>
      </w:r>
    </w:p>
    <w:p>
      <w:pPr>
        <w:jc w:val="both"/>
      </w:pPr>
      <w:r>
        <w:t xml:space="preserve">When outside actors create emulators or decompilation-based ports, they create alternative execution paths that lie outside the boundary resources under the platform owner's control. The platform owner must then decide how to respond, and the choice among responses reflects its strategic position.</w:t>
      </w:r>
    </w:p>
    <w:p>
      <w:pPr>
        <w:jc w:val="both"/>
      </w:pPr>
      <w:r>
        <w:t xml:space="preserve">Drawing on the concepts reviewed in Sections 3.1 through 3.3, this study uses an analytical framework that classifies responses along two dimensions. The first is the type of response: suppression (removing the unauthorized output through legal or technical means), re-closure (strengthening boundaries by tightening exclusivity, shifting to digital distribution, or reinforcing account-based services), absorption (incorporating the unauthorized innovation into the platform's own offerings), and tolerance (taking no observable action). The second is the lever through which the response is carried out: legal enforcement, technical measures, exclusivity and release strategy, or opening.</w:t>
      </w:r>
    </w:p>
    <w:p>
      <w:pPr>
        <w:pStyle w:val="Heading1"/>
      </w:pPr>
      <w:r>
        <w:t xml:space="preserve">4. Research Questions and Propositions</w:t>
      </w:r>
    </w:p>
    <w:p>
      <w:pPr>
        <w:jc w:val="both"/>
      </w:pPr>
      <w:r>
        <w:t xml:space="preserve">This study addresses three research questions.</w:t>
      </w:r>
    </w:p>
    <w:p>
      <w:pPr>
        <w:jc w:val="both"/>
      </w:pPr>
      <w:r>
        <w:rPr>
          <w:b/>
          <w:bCs/>
        </w:rPr>
        <w:t xml:space="preserve">RQ1.</w:t>
      </w:r>
      <w:r>
        <w:t xml:space="preserve"> Does AI-enabled replication differ from earlier ways of running console games outside the console, and if so, in which dimensions?</w:t>
      </w:r>
    </w:p>
    <w:p>
      <w:pPr>
        <w:jc w:val="both"/>
      </w:pPr>
      <w:r>
        <w:rPr>
          <w:b/>
          <w:bCs/>
        </w:rPr>
        <w:t xml:space="preserve">RQ2.</w:t>
      </w:r>
      <w:r>
        <w:t xml:space="preserve"> Did the governance responses of Sony, Microsoft, and Nintendo change between the pre-agent period and the AI-enabled period, and if so, how?</w:t>
      </w:r>
    </w:p>
    <w:p>
      <w:pPr>
        <w:jc w:val="both"/>
      </w:pPr>
      <w:r>
        <w:rPr>
          <w:b/>
          <w:bCs/>
        </w:rPr>
        <w:t xml:space="preserve">RQ3.</w:t>
      </w:r>
      <w:r>
        <w:t xml:space="preserve"> Which platform-level conditions account for the differences in governance responses across the three platform owners?</w:t>
      </w:r>
    </w:p>
    <w:p>
      <w:pPr>
        <w:jc w:val="both"/>
      </w:pPr>
      <w:r>
        <w:t xml:space="preserve">Because the study compares three cases rather than testing variables across a large sample, propositions rather than statistical hypotheses guide the analysis; each proposition is compared with the evidence from the cases (Eisenhardt, 1989). RQ1 is exploratory and is addressed through a dimensional comparison (Table 3 in Section 5) rather than through propositions. RQ2 and RQ3 are guided by four propositions derived from the concepts reviewed above.</w:t>
      </w:r>
    </w:p>
    <w:p>
      <w:pPr>
        <w:jc w:val="both"/>
      </w:pPr>
      <w:r>
        <w:rPr>
          <w:b/>
          <w:bCs/>
        </w:rPr>
        <w:t xml:space="preserve">Proposition 1.</w:t>
      </w:r>
      <w:r>
        <w:t xml:space="preserve"> The more a platform's value depends on exclusive first-party games, the more consistently the platform owner responds with suppression across both periods (Lee, 2013; Landsman &amp; Stremersch, 2011). If this proposition holds, Nintendo should exhibit sustained large-scale takedown activity across both the pre-agent and AI-enabled periods.</w:t>
      </w:r>
    </w:p>
    <w:p>
      <w:pPr>
        <w:jc w:val="both"/>
      </w:pPr>
      <w:r>
        <w:rPr>
          <w:b/>
          <w:bCs/>
        </w:rPr>
        <w:t xml:space="preserve">Proposition 2.</w:t>
      </w:r>
      <w:r>
        <w:t xml:space="preserve"> When a platform owner is also a major multi-platform complementor, the platform division and the publishing division respond differently to the same phenomenon (Lee, 2013; Rasch &amp; Wenzel, 2013). If this proposition holds, Microsoft should exhibit both absorption (through Xbox Labs) and suppression (through its publishing subsidiaries Activision and ZeniMax) within the same time frame.</w:t>
      </w:r>
    </w:p>
    <w:p>
      <w:pPr>
        <w:jc w:val="both"/>
      </w:pPr>
      <w:r>
        <w:rPr>
          <w:b/>
          <w:bCs/>
        </w:rPr>
        <w:t xml:space="preserve">Proposition 3.</w:t>
      </w:r>
      <w:r>
        <w:t xml:space="preserve"> When a platform owner's control over code execution weakens, it reinforces boundaries that are harder to replicate, such as exclusive release strategies, digital distribution channels, and account-based services (Ghazawneh &amp; Henfridsson, 2013; Eaton et al., 2015). If this proposition holds, Sony should exhibit re-closure in the AI-enabled period, as indicated by its reported return to first-party exclusivity, Sony's announced end of disc production for new games from January 2028,</w:t>
      </w:r>
      <w:r>
        <w:rPr>
          <w:rStyle w:val="FootnoteReference"/>
        </w:rPr>
        <w:footnoteReference w:id="22"/>
      </w:r>
      <w:r>
        <w:t xml:space="preserve"> and the reportedly rising share of digital software, add-on content, and network services in PlayStation revenue (reportedly from 56% in fiscal year 2022 to 70% in fiscal year 2025).</w:t>
      </w:r>
    </w:p>
    <w:p>
      <w:pPr>
        <w:jc w:val="both"/>
      </w:pPr>
      <w:r>
        <w:rPr>
          <w:b/>
          <w:bCs/>
        </w:rPr>
        <w:t xml:space="preserve">Proposition 4.</w:t>
      </w:r>
      <w:r>
        <w:t xml:space="preserve"> In the AI-enabled period, the legal basis for enforcement shifts from copyright in code and anti-circumvention claims toward copyright in game assets and trademark (Boudreau &amp; Hagiu, 2009). If this proposition holds, enforcement should target ports that distributed extracted game assets and projects that used the original trademark. The </w:t>
      </w:r>
      <w:r>
        <w:rPr>
          <w:i/>
          <w:iCs/>
        </w:rPr>
        <w:t xml:space="preserve">Call of Duty</w:t>
      </w:r>
      <w:r>
        <w:t xml:space="preserve"> browser ports taken down by Activision reportedly contained maps, models, and animations extracted from the original PC game, which reports suggest formed the basis for the takedowns.</w:t>
      </w:r>
      <w:r>
        <w:rPr>
          <w:vertAlign w:val="superscript"/>
        </w:rPr>
        <w:t xml:space="preserve">18</w:t>
      </w:r>
      <w:r>
        <w:t xml:space="preserve"> ZeniMax's cease-and-desist against </w:t>
      </w:r>
      <w:r>
        <w:rPr>
          <w:i/>
          <w:iCs/>
        </w:rPr>
        <w:t xml:space="preserve">Fallout: New York</w:t>
      </w:r>
      <w:r>
        <w:t xml:space="preserve"> reportedly cited its obligations as trademark holder.</w:t>
      </w:r>
      <w:r>
        <w:rPr>
          <w:vertAlign w:val="superscript"/>
        </w:rPr>
        <w:t xml:space="preserve">17</w:t>
      </w:r>
      <w:r>
        <w:t xml:space="preserve"> In contrast, no enforcement action has been reported against the </w:t>
      </w:r>
      <w:r>
        <w:rPr>
          <w:i/>
          <w:iCs/>
        </w:rPr>
        <w:t xml:space="preserve">Halo: Combat Evolved</w:t>
      </w:r>
      <w:r>
        <w:t xml:space="preserve"> browser port,</w:t>
      </w:r>
      <w:r>
        <w:rPr>
          <w:rStyle w:val="FootnoteReference"/>
        </w:rPr>
        <w:footnoteReference w:id="23"/>
      </w:r>
      <w:r>
        <w:t xml:space="preserve"> which does not distribute game data and requires a user-supplied disc image, or against the </w:t>
      </w:r>
      <w:r>
        <w:rPr>
          <w:i/>
          <w:iCs/>
        </w:rPr>
        <w:t xml:space="preserve">Fable 2</w:t>
      </w:r>
      <w:r>
        <w:t xml:space="preserve"> PC recompilation,</w:t>
      </w:r>
      <w:r>
        <w:rPr>
          <w:rStyle w:val="FootnoteReference"/>
        </w:rPr>
        <w:footnoteReference w:id="24"/>
      </w:r>
      <w:r>
        <w:t xml:space="preserve"> which similarly requires users to provide a disc image of the original game.</w:t>
      </w:r>
    </w:p>
    <w:p>
      <w:pPr>
        <w:jc w:val="both"/>
      </w:pPr>
      <w:r>
        <w:t xml:space="preserve">If at least one dimension in the phenomenon comparison (RQ1) and at least one dimension in the response comparison (RQ2) reveal a difference in kind rather than merely in degree, the study will propose a new concept. A difference in kind is defined as the appearance of a category of actor, a form of output, a lever of response, or a legal basis that was absent in the pre-agent period; a reduction in time or cost alone is treated as a difference in degree. If the conditions are not met, the study will conclude that a combination of existing concepts explains the phenomenon, and it will report that conclusion as a finding. Concept definition, if warranted, will follow the procedures outlined by Chaffee (1991) and Podsakoff et al. (2016).</w:t>
      </w:r>
    </w:p>
    <w:p>
      <w:pPr>
        <w:pStyle w:val="Heading1"/>
      </w:pPr>
      <w:r>
        <w:t xml:space="preserve">5. Methodology</w:t>
      </w:r>
    </w:p>
    <w:p>
      <w:pPr>
        <w:jc w:val="both"/>
      </w:pPr>
      <w:r>
        <w:rPr>
          <w:b/>
          <w:bCs/>
        </w:rPr>
        <w:t xml:space="preserve">Design.</w:t>
      </w:r>
      <w:r>
        <w:t xml:space="preserve"> The study uses a longitudinal, multiple-case design (Eisenhardt, 1989) that compares two periods. The pre-agent period runs from January 2016 through October 2025, including the years in which emulator and decompilation projects for the PlayStation 4 and Switch generation were active. The AI-enabled period runs from November 2025 through December 2026, beginning with the earliest AI-assisted decompilation record identified in the preliminary investigation (</w:t>
      </w:r>
      <w:r>
        <w:rPr>
          <w:i/>
          <w:iCs/>
        </w:rPr>
        <w:t xml:space="preserve">Snowboard Kids 2</w:t>
      </w:r>
      <w:r>
        <w:t xml:space="preserve">, November 2025). The November 2025 boundary is provisional; the main study will fix it by examining when AI co-authored commits first appear in major repositories and by consulting the era divisions proposed by Hansen (2024, 2026).</w:t>
      </w:r>
    </w:p>
    <w:p>
      <w:pPr>
        <w:jc w:val="both"/>
      </w:pPr>
      <w:r>
        <w:t xml:space="preserve">The cases are three console platform owners: Sony (Sony Interactive Entertainment), Microsoft (Xbox, including the Activision Blizzard and ZeniMax publishing subsidiaries), and Nintendo. Take-Two Interactive, a major publisher that does not operate a console platform, serves as a contrast case. The unit of analysis is an event in which a platform owner responds. For Microsoft, the platform division and the publisher subsidiaries are treated as sub-units in order to examine Proposition 2.</w:t>
      </w:r>
    </w:p>
    <w:p>
      <w:pPr>
        <w:jc w:val="both"/>
      </w:pPr>
      <w:r>
        <w:rPr>
          <w:b/>
          <w:bCs/>
        </w:rPr>
        <w:t xml:space="preserve">Data.</w:t>
      </w:r>
      <w:r>
        <w:t xml:space="preserve"> The study draws on four types of publicly available records.</w:t>
      </w:r>
    </w:p>
    <w:p>
      <w:pPr>
        <w:pStyle w:val="ListParagraph"/>
        <w:numPr>
          <w:ilvl w:val="0"/>
          <w:numId w:val="2"/>
        </w:numPr>
      </w:pPr>
      <w:r>
        <w:rPr>
          <w:i/>
          <w:iCs/>
        </w:rPr>
        <w:t xml:space="preserve">Enforcement records.</w:t>
      </w:r>
      <w:r>
        <w:t xml:space="preserve"> The primary source is the GitHub DMCA repository (github/dmca), a public archive of takedown notices sent under the DMCA maintained since 2011 that covers both periods.</w:t>
      </w:r>
      <w:r>
        <w:rPr>
          <w:rStyle w:val="FootnoteReference"/>
        </w:rPr>
        <w:footnoteReference w:id="25"/>
      </w:r>
      <w:r>
        <w:t xml:space="preserve"> A preliminary count found 7,104 notices between January 2024 and October 2026, although many of those are unrelated to games; full-text reading and classification will be required. Enforcement actions outside GitHub will be supplemented with records from the Lumen Database and from industry reporting.</w:t>
      </w:r>
    </w:p>
    <w:p>
      <w:pPr>
        <w:pStyle w:val="ListParagraph"/>
        <w:numPr>
          <w:ilvl w:val="0"/>
          <w:numId w:val="2"/>
        </w:numPr>
      </w:pPr>
      <w:r>
        <w:rPr>
          <w:i/>
          <w:iCs/>
        </w:rPr>
        <w:t xml:space="preserve">Development records.</w:t>
      </w:r>
      <w:r>
        <w:t xml:space="preserve"> Commit histories from decompilation and emulator repositories, including labels of AI co-authorship, together with progress data from decomp.dev. These records will also be used to calibrate the period boundary. Because developers apply labels of AI co-authorship voluntarily, the counts derived from them understate the actual extent of AI involvement.</w:t>
      </w:r>
    </w:p>
    <w:p>
      <w:pPr>
        <w:pStyle w:val="ListParagraph"/>
        <w:numPr>
          <w:ilvl w:val="0"/>
          <w:numId w:val="2"/>
        </w:numPr>
      </w:pPr>
      <w:r>
        <w:rPr>
          <w:i/>
          <w:iCs/>
        </w:rPr>
        <w:t xml:space="preserve">Corporate documents.</w:t>
      </w:r>
      <w:r>
        <w:t xml:space="preserve"> Annual reports (Sony 20-F, Microsoft 10-K, Nintendo annual report), official platform blogs, and changes to terms of service.</w:t>
      </w:r>
    </w:p>
    <w:p>
      <w:pPr>
        <w:pStyle w:val="ListParagraph"/>
        <w:numPr>
          <w:ilvl w:val="0"/>
          <w:numId w:val="2"/>
        </w:numPr>
      </w:pPr>
      <w:r>
        <w:rPr>
          <w:i/>
          <w:iCs/>
        </w:rPr>
        <w:t xml:space="preserve">Industry reporting and emulation history.</w:t>
      </w:r>
      <w:r>
        <w:t xml:space="preserve"> News coverage of enforcement events and platform announcements, used to reconstruct the timeline for both periods. Hansen (2024, 2026) provides a historical framework for the eras of video game emulation.</w:t>
      </w:r>
    </w:p>
    <w:p>
      <w:pPr>
        <w:keepNext/>
        <w:jc w:val="left"/>
      </w:pPr>
      <w:r>
        <w:rPr>
          <w:b/>
          <w:bCs/>
        </w:rPr>
        <w:t xml:space="preserve">Table 3. Comparison dimensions and coding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7"/>
        <w:gridCol w:w="2299"/>
        <w:gridCol w:w="5110"/>
      </w:tblGrid>
      <w:tr>
        <w:trPr>
          <w:cantSplit/>
          <w:tblHeader/>
        </w:trPr>
        <w:tc>
          <w:tcPr>
            <w:tcW w:type="dxa" w:w="1617"/>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Group</w:t>
            </w:r>
          </w:p>
        </w:tc>
        <w:tc>
          <w:tcPr>
            <w:tcW w:type="dxa" w:w="2299"/>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Dimension</w:t>
            </w:r>
          </w:p>
        </w:tc>
        <w:tc>
          <w:tcPr>
            <w:tcW w:type="dxa" w:w="511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40"/>
            </w:pPr>
            <w:r>
              <w:rPr>
                <w:b/>
                <w:bCs/>
                <w:sz w:val="18"/>
                <w:szCs w:val="18"/>
              </w:rPr>
              <w:t xml:space="preserve">Categories or indicators</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 (RQ1)</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Time and cost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Duration from project start to completion</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Actors</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Expert community / non-expert individual / firm</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Output form</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Emulator / native port / browser port / mashup</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Original-data requirement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Requires user-supplied disc image / bundles extracted assets</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Phenomenon</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Reappearance after takedown</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Time between removal and reappearance of equivalent output</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 (RQ2, RQ3)</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 type</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Suppression / re-closure / absorption / tolerance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Lever</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Legal enforcement / technical measures / exclusivity and release strategy / opening</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Legal basis</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Copyright in code / copyright in assets / anti-circumvention / trademark / not stated</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Response</w:t>
            </w:r>
          </w:p>
        </w:tc>
        <w:tc>
          <w:tcPr>
            <w:tcW w:type="dxa" w:w="22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Organizational unit</w:t>
            </w:r>
          </w:p>
        </w:tc>
        <w:tc>
          <w:tcPr>
            <w:tcW w:type="dxa" w:w="51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sz w:val="18"/>
                <w:szCs w:val="18"/>
              </w:rPr>
              <w:t xml:space="preserve">Platform division / publisher subsidiary</w:t>
            </w:r>
          </w:p>
        </w:tc>
      </w:tr>
    </w:tbl>
    <w:p>
      <w:pPr>
        <w:spacing w:after="0"/>
      </w:pPr>
    </w:p>
    <w:p>
      <w:pPr>
        <w:jc w:val="both"/>
      </w:pPr>
      <w:r>
        <w:rPr>
          <w:b/>
          <w:bCs/>
        </w:rPr>
        <w:t xml:space="preserve">Analysis.</w:t>
      </w:r>
      <w:r>
        <w:t xml:space="preserve"> The analysis proceeds in four steps: (a) constructing a chronological table of events for each case, (b) comparing events across the two periods within each case, (c) comparing patterns across the three cases against Propositions 1 through 4, and (d) applying the concept-definition procedure if the conditions set out in Section 4 are met. Step (d) will draw on the inductive approach to structuring data described by Gioia et al. (2013).</w:t>
      </w:r>
    </w:p>
    <w:p>
      <w:pPr>
        <w:jc w:val="both"/>
      </w:pPr>
      <w:r>
        <w:rPr>
          <w:b/>
          <w:bCs/>
        </w:rPr>
        <w:t xml:space="preserve">Scope and limitations.</w:t>
      </w:r>
      <w:r>
        <w:t xml:space="preserve"> This proposal focuses on the AI-enabled period in detail; the pre-agent period is covered through enforcement records and major events only. A broader examination of the pre-agent period and an extension of the observation window are planned for the main study in 2027. The study is limited to three cases and relies on publicly available records. The causal role of AI is not isolated; instead, the design compares the two periods. Finally, the events under study are still unfolding.</w:t>
      </w:r>
    </w:p>
    <w:p>
      <w:pPr>
        <w:pStyle w:val="Heading1"/>
      </w:pPr>
      <w:r>
        <w:t xml:space="preserve">6. Expected Results and Contributions</w:t>
      </w:r>
    </w:p>
    <w:p>
      <w:pPr>
        <w:jc w:val="both"/>
      </w:pPr>
      <w:r>
        <w:t xml:space="preserve">The following results are expectations to be checked against the evidence, not confirmed findings.</w:t>
      </w:r>
    </w:p>
    <w:p>
      <w:pPr>
        <w:jc w:val="both"/>
      </w:pPr>
      <w:r>
        <w:t xml:space="preserve">Regarding RQ1, a clear difference in time and cost between the two periods is expected. Differences in kind may emerge in the range of actors involved (particularly non-expert individuals entering the field), in the forms of output produced (browser ports and mashups), and in the speed at which equivalent outputs reappear after enforcement actions. Whether these differences are sufficient to warrant a new concept will be determined by the criteria stated in Section 4.</w:t>
      </w:r>
    </w:p>
    <w:p>
      <w:pPr>
        <w:jc w:val="both"/>
      </w:pPr>
      <w:r>
        <w:t xml:space="preserve">Regarding RQ2 and RQ3, the expectation is that Nintendo will exhibit sustained suppression across both periods (P1), that Microsoft will show simultaneous absorption and suppression from different organizational units (P2), and that Sony will exhibit a shift toward re-closure in the AI-enabled period (P3). The legal basis for enforcement is expected to shift from code-based copyright and anti-circumvention claims toward asset-based copyright and trademark (P4). If the observed patterns diverge from these propositions, the study will report the divergence and revise the theoretical account accordingly.</w:t>
      </w:r>
    </w:p>
    <w:p>
      <w:pPr>
        <w:jc w:val="both"/>
      </w:pPr>
      <w:r>
        <w:t xml:space="preserve">The study is expected to make three contributions. First, it will map the explanatory reach and limits of existing platform concepts, including multihoming, emulation, disintermediation, and piracy in two-sided markets, as they apply to the phenomenon of running console games outside the console. If the conditions stated in Section 4 are met, the study will propose a new concept following the definitional procedures of Chaffee (1991) and Podsakoff et al. (2016). Second, it will examine whether the dual position of platform owners, as both platform operators and complementors, is a condition that divides their governance responses. Third, the study has implications for the exclusivity strategies of platform firms and for current debates on exceptions for preservation and interoperability, such as the exemptions under Section 1201 of the DMCA and Article 6 of the EU Software Directive, which permits decompilation when it is necessary for interoperability.</w:t>
      </w:r>
    </w:p>
    <w:p>
      <w:pPr>
        <w:pStyle w:val="Heading1"/>
      </w:pPr>
      <w:r>
        <w:t xml:space="preserve">References</w:t>
      </w:r>
    </w:p>
    <w:p>
      <w:pPr>
        <w:ind w:left="720" w:hanging="720"/>
      </w:pPr>
      <w:r>
        <w:t xml:space="preserve">Boudreau, K. J., &amp; Hagiu, A. (2009). Platform rules: Multi-sided platforms as regulators. In A. Gawer (Ed.), </w:t>
      </w:r>
      <w:r>
        <w:rPr>
          <w:i/>
          <w:iCs/>
        </w:rPr>
        <w:t xml:space="preserve">Platforms, markets and innovation</w:t>
      </w:r>
      <w:r>
        <w:t xml:space="preserve">. Edward Elgar. https://doi.org/10.4337/9781849803311.00014</w:t>
      </w:r>
    </w:p>
    <w:p>
      <w:pPr>
        <w:ind w:left="720" w:hanging="720"/>
      </w:pPr>
      <w:r>
        <w:t xml:space="preserve">Cennamo, C., &amp; Santaló, J. (2013). Platform competition: Strategic trade-offs in platform markets. </w:t>
      </w:r>
      <w:r>
        <w:rPr>
          <w:i/>
          <w:iCs/>
        </w:rPr>
        <w:t xml:space="preserve">Strategic Management Journal, 34</w:t>
      </w:r>
      <w:r>
        <w:t xml:space="preserve">(11), 1331–1350. https://doi.org/10.1002/smj.2066</w:t>
      </w:r>
    </w:p>
    <w:p>
      <w:pPr>
        <w:ind w:left="720" w:hanging="720"/>
      </w:pPr>
      <w:r>
        <w:t xml:space="preserve">Chaffee, S. H. (1991). </w:t>
      </w:r>
      <w:r>
        <w:rPr>
          <w:i/>
          <w:iCs/>
        </w:rPr>
        <w:t xml:space="preserve">Communication concepts 1: Explication</w:t>
      </w:r>
      <w:r>
        <w:t xml:space="preserve">. Sage.</w:t>
      </w:r>
    </w:p>
    <w:p>
      <w:pPr>
        <w:ind w:left="720" w:hanging="720"/>
      </w:pPr>
      <w:r>
        <w:t xml:space="preserve">Conner, K. R., &amp; Rumelt, R. P. (1991). Software piracy: An analysis of protection strategies. </w:t>
      </w:r>
      <w:r>
        <w:rPr>
          <w:i/>
          <w:iCs/>
        </w:rPr>
        <w:t xml:space="preserve">Management Science, 37</w:t>
      </w:r>
      <w:r>
        <w:t xml:space="preserve">(2), 125–139. https://doi.org/10.1287/mnsc.37.2.125</w:t>
      </w:r>
    </w:p>
    <w:p>
      <w:pPr>
        <w:ind w:left="720" w:hanging="720"/>
      </w:pPr>
      <w:r>
        <w:t xml:space="preserve">Eaton, B., Elaluf-Calderwood, S., Sørensen, C., &amp; Yoo, Y. (2015). Distributed tuning of boundary resources: The case of Apple's iOS service system. </w:t>
      </w:r>
      <w:r>
        <w:rPr>
          <w:i/>
          <w:iCs/>
        </w:rPr>
        <w:t xml:space="preserve">MIS Quarterly, 39</w:t>
      </w:r>
      <w:r>
        <w:t xml:space="preserve">(1), 217–243. https://doi.org/10.25300/MISQ/2015/39.1.10</w:t>
      </w:r>
    </w:p>
    <w:p>
      <w:pPr>
        <w:ind w:left="720" w:hanging="720"/>
      </w:pPr>
      <w:r>
        <w:t xml:space="preserve">Eisenhardt, K. M. (1989). Building theories from case study research. </w:t>
      </w:r>
      <w:r>
        <w:rPr>
          <w:i/>
          <w:iCs/>
        </w:rPr>
        <w:t xml:space="preserve">Academy of Management Review, 14</w:t>
      </w:r>
      <w:r>
        <w:t xml:space="preserve">(4), 532–550. https://doi.org/10.2307/258557</w:t>
      </w:r>
    </w:p>
    <w:p>
      <w:pPr>
        <w:ind w:left="720" w:hanging="720"/>
      </w:pPr>
      <w:r>
        <w:t xml:space="preserve">Ghazawneh, A., &amp; Henfridsson, O. (2013). Balancing platform control and external contribution in third-party development: The boundary resources model. </w:t>
      </w:r>
      <w:r>
        <w:rPr>
          <w:i/>
          <w:iCs/>
        </w:rPr>
        <w:t xml:space="preserve">Information Systems Journal, 23</w:t>
      </w:r>
      <w:r>
        <w:t xml:space="preserve">(2), 173–192. https://doi.org/10.1111/j.1365-2575.2012.00406.x</w:t>
      </w:r>
    </w:p>
    <w:p>
      <w:pPr>
        <w:ind w:left="720" w:hanging="720"/>
      </w:pPr>
      <w:r>
        <w:t xml:space="preserve">Gioia, D. A., Corley, K. G., &amp; Hamilton, A. L. (2013). Seeking qualitative rigor in inductive research: Notes on the Gioia methodology. </w:t>
      </w:r>
      <w:r>
        <w:rPr>
          <w:i/>
          <w:iCs/>
        </w:rPr>
        <w:t xml:space="preserve">Organizational Research Methods, 16</w:t>
      </w:r>
      <w:r>
        <w:t xml:space="preserve">(1), 15–31. https://doi.org/10.1177/1094428112452151</w:t>
      </w:r>
    </w:p>
    <w:p>
      <w:pPr>
        <w:ind w:left="720" w:hanging="720"/>
      </w:pPr>
      <w:r>
        <w:t xml:space="preserve">Gu, G., &amp; Zhu, F. (2021). Trust and disintermediation: Evidence from an online freelance marketplace. </w:t>
      </w:r>
      <w:r>
        <w:rPr>
          <w:i/>
          <w:iCs/>
        </w:rPr>
        <w:t xml:space="preserve">Management Science, 67</w:t>
      </w:r>
      <w:r>
        <w:t xml:space="preserve">(2), 794–807. https://doi.org/10.1287/mnsc.2020.3583</w:t>
      </w:r>
    </w:p>
    <w:p>
      <w:pPr>
        <w:ind w:left="720" w:hanging="720"/>
      </w:pPr>
      <w:r>
        <w:t xml:space="preserve">Hagiu, A., &amp; Wright, J. (2015). Multi-sided platforms. </w:t>
      </w:r>
      <w:r>
        <w:rPr>
          <w:i/>
          <w:iCs/>
        </w:rPr>
        <w:t xml:space="preserve">International Journal of Industrial Organization, 43</w:t>
      </w:r>
      <w:r>
        <w:t xml:space="preserve">, 162–174. https://doi.org/10.1016/j.ijindorg.2015.03.003</w:t>
      </w:r>
    </w:p>
    <w:p>
      <w:pPr>
        <w:ind w:left="720" w:hanging="720"/>
      </w:pPr>
      <w:r>
        <w:t xml:space="preserve">Hansen, J. (2024). Toward a history of emulation: Five eras for videogame emulators. </w:t>
      </w:r>
      <w:r>
        <w:rPr>
          <w:i/>
          <w:iCs/>
        </w:rPr>
        <w:t xml:space="preserve">DiGRA Digital Library</w:t>
      </w:r>
      <w:r>
        <w:t xml:space="preserve">. https://doi.org/10.26503/dl.v2024i3.2796</w:t>
      </w:r>
    </w:p>
    <w:p>
      <w:pPr>
        <w:ind w:left="720" w:hanging="720"/>
      </w:pPr>
      <w:r>
        <w:t xml:space="preserve">Hansen, J. (2026). A chronicle of emulation: Proposed eras for video game emulators. </w:t>
      </w:r>
      <w:r>
        <w:rPr>
          <w:i/>
          <w:iCs/>
        </w:rPr>
        <w:t xml:space="preserve">DiGRA Digital Library</w:t>
      </w:r>
      <w:r>
        <w:t xml:space="preserve">. https://doi.org/10.26503/dl.v2026i3.2808</w:t>
      </w:r>
    </w:p>
    <w:p>
      <w:pPr>
        <w:ind w:left="720" w:hanging="720"/>
      </w:pPr>
      <w:r>
        <w:t xml:space="preserve">Kim, M. S., &amp; Kim, S. (2025). Why do individuals use online video piracy websites? </w:t>
      </w:r>
      <w:r>
        <w:rPr>
          <w:i/>
          <w:iCs/>
        </w:rPr>
        <w:t xml:space="preserve">Computers in Human Behavior, 166</w:t>
      </w:r>
      <w:r>
        <w:t xml:space="preserve">, Article 108575. https://doi.org/10.1016/j.chb.2025.108575</w:t>
      </w:r>
    </w:p>
    <w:p>
      <w:pPr>
        <w:ind w:left="720" w:hanging="720"/>
      </w:pPr>
      <w:r>
        <w:t xml:space="preserve">Kretschmer, T., &amp; Claussen, J. (2016). Generational transitions in platform markets: The role of backward compatibility. </w:t>
      </w:r>
      <w:r>
        <w:rPr>
          <w:i/>
          <w:iCs/>
        </w:rPr>
        <w:t xml:space="preserve">Strategy Science, 1</w:t>
      </w:r>
      <w:r>
        <w:t xml:space="preserve">(2), 90–104. https://doi.org/10.1287/stsc.2015.0009</w:t>
      </w:r>
    </w:p>
    <w:p>
      <w:pPr>
        <w:ind w:left="720" w:hanging="720"/>
      </w:pPr>
      <w:r>
        <w:t xml:space="preserve">Landsman, V., &amp; Stremersch, S. (2011). Multihoming in two-sided markets: An empirical inquiry in the video game console industry. </w:t>
      </w:r>
      <w:r>
        <w:rPr>
          <w:i/>
          <w:iCs/>
        </w:rPr>
        <w:t xml:space="preserve">Journal of Marketing, 75</w:t>
      </w:r>
      <w:r>
        <w:t xml:space="preserve">(6), 39–54. https://doi.org/10.1509/jm.09.0199</w:t>
      </w:r>
    </w:p>
    <w:p>
      <w:pPr>
        <w:ind w:left="720" w:hanging="720"/>
      </w:pPr>
      <w:r>
        <w:t xml:space="preserve">Lee, R. S. (2013). Vertical integration and exclusivity in platform and two-sided markets. </w:t>
      </w:r>
      <w:r>
        <w:rPr>
          <w:i/>
          <w:iCs/>
        </w:rPr>
        <w:t xml:space="preserve">American Economic Review, 103</w:t>
      </w:r>
      <w:r>
        <w:t xml:space="preserve">(7), 2960–3000. https://doi.org/10.1257/aer.103.7.2960</w:t>
      </w:r>
    </w:p>
    <w:p>
      <w:pPr>
        <w:ind w:left="720" w:hanging="720"/>
      </w:pPr>
      <w:r>
        <w:t xml:space="preserve">Podsakoff, P. M., MacKenzie, S. B., &amp; Podsakoff, N. P. (2016). Recommendations for creating better concept definitions in the organizational, behavioral, and social sciences. </w:t>
      </w:r>
      <w:r>
        <w:rPr>
          <w:i/>
          <w:iCs/>
        </w:rPr>
        <w:t xml:space="preserve">Organizational Research Methods, 19</w:t>
      </w:r>
      <w:r>
        <w:t xml:space="preserve">(2), 159–203. https://doi.org/10.1177/1094428115624965</w:t>
      </w:r>
    </w:p>
    <w:p>
      <w:pPr>
        <w:ind w:left="720" w:hanging="720"/>
      </w:pPr>
      <w:r>
        <w:t xml:space="preserve">Rasch, A., &amp; Wenzel, T. (2013). Piracy in a two-sided software market. </w:t>
      </w:r>
      <w:r>
        <w:rPr>
          <w:i/>
          <w:iCs/>
        </w:rPr>
        <w:t xml:space="preserve">Journal of Economic Behavior &amp; Organization, 88</w:t>
      </w:r>
      <w:r>
        <w:t xml:space="preserve">, 78–89. https://doi.org/10.1016/j.jebo.2013.01.009</w:t>
      </w:r>
    </w:p>
    <w:p>
      <w:pPr>
        <w:ind w:left="720" w:hanging="720"/>
      </w:pPr>
      <w:r>
        <w:t xml:space="preserve">Rochet, J.-C., &amp; Tirole, J. (2003). Platform competition in two-sided markets. </w:t>
      </w:r>
      <w:r>
        <w:rPr>
          <w:i/>
          <w:iCs/>
        </w:rPr>
        <w:t xml:space="preserve">Journal of the European Economic Association, 1</w:t>
      </w:r>
      <w:r>
        <w:t xml:space="preserve">(4), 990–1029. https://doi.org/10.1162/154247603322493212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sz w:val="18"/>
          <w:szCs w:val="18"/>
        </w:rPr>
        <w:t xml:space="preserve"> Newzoo, via PocketGamer.biz. https://www.pocketgamer.biz/global-games-revenue-surpasses-200bn-for-the-first-time-mobile-generates-113bn/</w:t>
      </w:r>
    </w:p>
  </w:footnote>
  <w:footnote w:id="2">
    <w:p>
      <w:pPr>
        <w:spacing w:after="40" w:line="240"/>
      </w:pPr>
      <w:r>
        <w:rPr>
          <w:rStyle w:val="FootnoteReference"/>
        </w:rPr>
        <w:footnoteRef/>
      </w:r>
      <w:r>
        <w:rPr>
          <w:sz w:val="18"/>
          <w:szCs w:val="18"/>
        </w:rPr>
        <w:t xml:space="preserve"> Gematsu. https://www.gematsu.com/2026/07/ps5-shipments-top-95-3-million</w:t>
      </w:r>
    </w:p>
  </w:footnote>
  <w:footnote w:id="3">
    <w:p>
      <w:pPr>
        <w:spacing w:after="40" w:line="240"/>
      </w:pPr>
      <w:r>
        <w:rPr>
          <w:rStyle w:val="FootnoteReference"/>
        </w:rPr>
        <w:footnoteRef/>
      </w:r>
      <w:r>
        <w:rPr>
          <w:sz w:val="18"/>
          <w:szCs w:val="18"/>
        </w:rPr>
        <w:t xml:space="preserve"> Nintendo Investor Relations. https://www.nintendo.co.jp/ir/en/finance/hard_soft/index.html</w:t>
      </w:r>
    </w:p>
  </w:footnote>
  <w:footnote w:id="4">
    <w:p>
      <w:pPr>
        <w:spacing w:after="40" w:line="240"/>
      </w:pPr>
      <w:r>
        <w:rPr>
          <w:rStyle w:val="FootnoteReference"/>
        </w:rPr>
        <w:footnoteRef/>
      </w:r>
      <w:r>
        <w:rPr>
          <w:sz w:val="18"/>
          <w:szCs w:val="18"/>
        </w:rPr>
        <w:t xml:space="preserve"> See ShadPS4 article for emulation timeline. https://en.wikipedia.org/wiki/ShadPS4</w:t>
      </w:r>
    </w:p>
  </w:footnote>
  <w:footnote w:id="5">
    <w:p>
      <w:pPr>
        <w:spacing w:after="40" w:line="240"/>
      </w:pPr>
      <w:r>
        <w:rPr>
          <w:rStyle w:val="FootnoteReference"/>
        </w:rPr>
        <w:footnoteRef/>
      </w:r>
      <w:r>
        <w:rPr>
          <w:sz w:val="18"/>
          <w:szCs w:val="18"/>
        </w:rPr>
        <w:t xml:space="preserve"> decomp.dev, </w:t>
      </w:r>
      <w:r>
        <w:rPr>
          <w:i/>
          <w:iCs/>
          <w:sz w:val="18"/>
          <w:szCs w:val="18"/>
        </w:rPr>
        <w:t xml:space="preserve">Super Smash Bros. Melee</w:t>
      </w:r>
      <w:r>
        <w:rPr>
          <w:sz w:val="18"/>
          <w:szCs w:val="18"/>
        </w:rPr>
        <w:t xml:space="preserve"> decompilation progress. https://decomp.dev/doldecomp/melee</w:t>
      </w:r>
    </w:p>
  </w:footnote>
  <w:footnote w:id="6">
    <w:p>
      <w:pPr>
        <w:spacing w:after="40" w:line="240"/>
      </w:pPr>
      <w:r>
        <w:rPr>
          <w:rStyle w:val="FootnoteReference"/>
        </w:rPr>
        <w:footnoteRef/>
      </w:r>
      <w:r>
        <w:rPr>
          <w:sz w:val="18"/>
          <w:szCs w:val="18"/>
        </w:rPr>
        <w:t xml:space="preserve"> VGC. https://videogameschronicle.com/news/switch-emulator-creator-settles-nintendo-lawsuit-for-2-4m</w:t>
      </w:r>
    </w:p>
  </w:footnote>
  <w:footnote w:id="7">
    <w:p>
      <w:pPr>
        <w:spacing w:after="40" w:line="240"/>
      </w:pPr>
      <w:r>
        <w:rPr>
          <w:rStyle w:val="FootnoteReference"/>
        </w:rPr>
        <w:footnoteRef/>
      </w:r>
      <w:r>
        <w:rPr>
          <w:sz w:val="18"/>
          <w:szCs w:val="18"/>
        </w:rPr>
        <w:t xml:space="preserve"> VGC. https://www.videogameschronicle.com/news/nintendo-takes-down-more-than-8500-clones-of-switch-emulator-yuzu-with-a-single-dmca-notice</w:t>
      </w:r>
    </w:p>
  </w:footnote>
  <w:footnote w:id="8">
    <w:p>
      <w:pPr>
        <w:spacing w:after="40" w:line="240"/>
      </w:pPr>
      <w:r>
        <w:rPr>
          <w:rStyle w:val="FootnoteReference"/>
        </w:rPr>
        <w:footnoteRef/>
      </w:r>
      <w:r>
        <w:rPr>
          <w:sz w:val="18"/>
          <w:szCs w:val="18"/>
        </w:rPr>
        <w:t xml:space="preserve"> Shacknews. https://shacknews.com/article/136341/dolphin-emulator-steam-launch-abandoned</w:t>
      </w:r>
    </w:p>
  </w:footnote>
  <w:footnote w:id="9">
    <w:p>
      <w:pPr>
        <w:spacing w:after="40" w:line="240"/>
      </w:pPr>
      <w:r>
        <w:rPr>
          <w:rStyle w:val="FootnoteReference"/>
        </w:rPr>
        <w:footnoteRef/>
      </w:r>
      <w:r>
        <w:rPr>
          <w:sz w:val="18"/>
          <w:szCs w:val="18"/>
        </w:rPr>
        <w:t xml:space="preserve"> Chris Lewis, developer account. https://blog.chrislewis.au/decompiling-a-nintendo-64-game-in-84-days/</w:t>
      </w:r>
    </w:p>
  </w:footnote>
  <w:footnote w:id="10">
    <w:p>
      <w:pPr>
        <w:spacing w:after="40" w:line="240"/>
      </w:pPr>
      <w:r>
        <w:rPr>
          <w:rStyle w:val="FootnoteReference"/>
        </w:rPr>
        <w:footnoteRef/>
      </w:r>
      <w:r>
        <w:rPr>
          <w:sz w:val="18"/>
          <w:szCs w:val="18"/>
        </w:rPr>
        <w:t xml:space="preserve"> psxrecomp developer account. https://1379.tech/i-built-a-ps1-static-recompiler-with-no-prior-experience-and-claude-code/</w:t>
      </w:r>
    </w:p>
  </w:footnote>
  <w:footnote w:id="11">
    <w:p>
      <w:pPr>
        <w:spacing w:after="40" w:line="240"/>
      </w:pPr>
      <w:r>
        <w:rPr>
          <w:rStyle w:val="FootnoteReference"/>
        </w:rPr>
        <w:footnoteRef/>
      </w:r>
      <w:r>
        <w:rPr>
          <w:sz w:val="18"/>
          <w:szCs w:val="18"/>
        </w:rPr>
        <w:t xml:space="preserve"> PPSSPP repository commit history. https://github.com/hrydgard/ppsspp</w:t>
      </w:r>
    </w:p>
  </w:footnote>
  <w:footnote w:id="12">
    <w:p>
      <w:pPr>
        <w:spacing w:after="40" w:line="240"/>
      </w:pPr>
      <w:r>
        <w:rPr>
          <w:rStyle w:val="FootnoteReference"/>
        </w:rPr>
        <w:footnoteRef/>
      </w:r>
      <w:r>
        <w:rPr>
          <w:sz w:val="18"/>
          <w:szCs w:val="18"/>
        </w:rPr>
        <w:t xml:space="preserve"> Kotaku, 9 October 2026. https://kotaku.com/we-might-be-cooked-as-these-vibe-coded-web-browser-ports-of-halo-the-simpsons-hit-and-run-and-gta-vice-city-seem-to-work-perfectly-2000743300</w:t>
      </w:r>
    </w:p>
  </w:footnote>
  <w:footnote w:id="13">
    <w:p>
      <w:pPr>
        <w:spacing w:after="40" w:line="240"/>
      </w:pPr>
      <w:r>
        <w:rPr>
          <w:rStyle w:val="FootnoteReference"/>
        </w:rPr>
        <w:footnoteRef/>
      </w:r>
      <w:r>
        <w:rPr>
          <w:sz w:val="18"/>
          <w:szCs w:val="18"/>
        </w:rPr>
        <w:t xml:space="preserve"> 80.lv. https://80.lv/articles/take-two-takes-down-browser-version-of-gta-vice-city-with-dmca-request</w:t>
      </w:r>
    </w:p>
  </w:footnote>
  <w:footnote w:id="14">
    <w:p>
      <w:pPr>
        <w:spacing w:after="40" w:line="240"/>
      </w:pPr>
      <w:r>
        <w:rPr>
          <w:rStyle w:val="FootnoteReference"/>
        </w:rPr>
        <w:footnoteRef/>
      </w:r>
      <w:r>
        <w:rPr>
          <w:sz w:val="18"/>
          <w:szCs w:val="18"/>
        </w:rPr>
        <w:t xml:space="preserve"> Windows Experience Blog, 11 March 2026. https://blogs.windows.com/windowsexperience/2026/03/11/gdc-2026-next-generation-of-xbox-designed-to-play-console-and-pc-games/</w:t>
      </w:r>
    </w:p>
  </w:footnote>
  <w:footnote w:id="15">
    <w:p>
      <w:pPr>
        <w:spacing w:after="40" w:line="240"/>
      </w:pPr>
      <w:r>
        <w:rPr>
          <w:rStyle w:val="FootnoteReference"/>
        </w:rPr>
        <w:footnoteRef/>
      </w:r>
      <w:r>
        <w:rPr>
          <w:sz w:val="18"/>
          <w:szCs w:val="18"/>
        </w:rPr>
        <w:t xml:space="preserve"> Push Square, reporting on Bloomberg (Jason Schreier). https://www.pushsquare.com/news/2026/05/sony-reportedly-confirms-shift-back-to-ps5-single-player-exclusive-games</w:t>
      </w:r>
    </w:p>
  </w:footnote>
  <w:footnote w:id="16">
    <w:p>
      <w:pPr>
        <w:spacing w:after="40" w:line="240"/>
      </w:pPr>
      <w:r>
        <w:rPr>
          <w:rStyle w:val="FootnoteReference"/>
        </w:rPr>
        <w:footnoteRef/>
      </w:r>
      <w:r>
        <w:rPr>
          <w:sz w:val="18"/>
          <w:szCs w:val="18"/>
        </w:rPr>
        <w:t xml:space="preserve"> VGC. https://videogameschronicle.com/news/nintendo-wipes-out-400-more-switch-emulator-repositories-on-github-as-it-continues-its-fight-on-piracy</w:t>
      </w:r>
    </w:p>
  </w:footnote>
  <w:footnote w:id="17">
    <w:p>
      <w:pPr>
        <w:spacing w:after="40" w:line="240"/>
      </w:pPr>
      <w:r>
        <w:rPr>
          <w:rStyle w:val="FootnoteReference"/>
        </w:rPr>
        <w:footnoteRef/>
      </w:r>
      <w:r>
        <w:rPr>
          <w:sz w:val="18"/>
          <w:szCs w:val="18"/>
        </w:rPr>
        <w:t xml:space="preserve"> Destructoid. https://www.destructoid.com/activision-bethesda-take-down-ai-generated-mods/</w:t>
      </w:r>
    </w:p>
  </w:footnote>
  <w:footnote w:id="18">
    <w:p>
      <w:pPr>
        <w:spacing w:after="40" w:line="240"/>
      </w:pPr>
      <w:r>
        <w:rPr>
          <w:rStyle w:val="FootnoteReference"/>
        </w:rPr>
        <w:footnoteRef/>
      </w:r>
      <w:r>
        <w:rPr>
          <w:sz w:val="18"/>
          <w:szCs w:val="18"/>
        </w:rPr>
        <w:t xml:space="preserve"> XDA. https://www.xda-developers.com/activision-hits-vibe-coded-classic-call-of-duty-browser-ports-with-dmca-takedowns/</w:t>
      </w:r>
    </w:p>
  </w:footnote>
  <w:footnote w:id="19">
    <w:p>
      <w:pPr>
        <w:spacing w:after="40" w:line="240"/>
      </w:pPr>
      <w:r>
        <w:rPr>
          <w:rStyle w:val="FootnoteReference"/>
        </w:rPr>
        <w:footnoteRef/>
      </w:r>
      <w:r>
        <w:rPr>
          <w:sz w:val="18"/>
          <w:szCs w:val="18"/>
        </w:rPr>
        <w:t xml:space="preserve"> VGC, quoting Xbox CEO Asha Sharma's memo. https://www.videogameschronicle.com/news/asha-sharma-forms-xbox-labs-in-response-to-explosion-of-ai-powered-mods-and-ports/</w:t>
      </w:r>
    </w:p>
  </w:footnote>
  <w:footnote w:id="20">
    <w:p>
      <w:pPr>
        <w:spacing w:after="40" w:line="240"/>
      </w:pPr>
      <w:r>
        <w:rPr>
          <w:rStyle w:val="FootnoteReference"/>
        </w:rPr>
        <w:footnoteRef/>
      </w:r>
      <w:r>
        <w:rPr>
          <w:sz w:val="18"/>
          <w:szCs w:val="18"/>
        </w:rPr>
        <w:t xml:space="preserve"> U.S. Copyright Office, Section 1201 Rulemaking (Eighth Triennial Proceeding). https://www.copyright.gov/1201/2027/</w:t>
      </w:r>
    </w:p>
  </w:footnote>
  <w:footnote w:id="21">
    <w:p>
      <w:pPr>
        <w:spacing w:after="40" w:line="240"/>
      </w:pPr>
      <w:r>
        <w:rPr>
          <w:rStyle w:val="FootnoteReference"/>
        </w:rPr>
        <w:footnoteRef/>
      </w:r>
      <w:r>
        <w:rPr>
          <w:sz w:val="18"/>
          <w:szCs w:val="18"/>
        </w:rPr>
        <w:t xml:space="preserve"> European Commission reply to the Stop Destroying Videogames citizens' initiative. https://citizens-initiative.europa.eu/stop-destroying-videogames-commissions-reply-european-citizens-initiative_en</w:t>
      </w:r>
    </w:p>
  </w:footnote>
  <w:footnote w:id="22">
    <w:p>
      <w:pPr>
        <w:spacing w:after="40" w:line="240"/>
      </w:pPr>
      <w:r>
        <w:rPr>
          <w:rStyle w:val="FootnoteReference"/>
        </w:rPr>
        <w:footnoteRef/>
      </w:r>
      <w:r>
        <w:rPr>
          <w:sz w:val="18"/>
          <w:szCs w:val="18"/>
        </w:rPr>
        <w:t xml:space="preserve"> PlayStation Blog, 1 July 2026. https://blog.playstation.com/2026/07/01/physical-disc-production-ending-in-january-2028-for-new-games-releasing-on-playstation-consoles/</w:t>
      </w:r>
    </w:p>
  </w:footnote>
  <w:footnote w:id="23">
    <w:p>
      <w:pPr>
        <w:spacing w:after="40" w:line="240"/>
      </w:pPr>
      <w:r>
        <w:rPr>
          <w:rStyle w:val="FootnoteReference"/>
        </w:rPr>
        <w:footnoteRef/>
      </w:r>
      <w:r>
        <w:rPr>
          <w:sz w:val="18"/>
          <w:szCs w:val="18"/>
        </w:rPr>
        <w:t xml:space="preserve"> PC Gamer (noting that the Halo browser port requires a user-made disc image and does not distribute game data). https://www.pcgamer.com/hardware/you-can-now-play-halo-combat-evolved-in-a-web-browser-and-it-even-has-multiplayer/</w:t>
      </w:r>
    </w:p>
  </w:footnote>
  <w:footnote w:id="24">
    <w:p>
      <w:pPr>
        <w:spacing w:after="40" w:line="240"/>
      </w:pPr>
      <w:r>
        <w:rPr>
          <w:rStyle w:val="FootnoteReference"/>
        </w:rPr>
        <w:footnoteRef/>
      </w:r>
      <w:r>
        <w:rPr>
          <w:sz w:val="18"/>
          <w:szCs w:val="18"/>
        </w:rPr>
        <w:t xml:space="preserve"> DSOGaming (noting that the Fable 2 recompilation requires a user-supplied disc image). https://dsogaming.com/news/fable-2-unofficial-native-pc-port-available-for-download/</w:t>
      </w:r>
    </w:p>
  </w:footnote>
  <w:footnote w:id="25">
    <w:p>
      <w:pPr>
        <w:spacing w:after="40" w:line="240"/>
      </w:pPr>
      <w:r>
        <w:rPr>
          <w:rStyle w:val="FootnoteReference"/>
        </w:rPr>
        <w:footnoteRef/>
      </w:r>
      <w:r>
        <w:rPr>
          <w:sz w:val="18"/>
          <w:szCs w:val="18"/>
        </w:rPr>
        <w:t xml:space="preserve"> GitHub DMCA repository. https://github.com/github/dmca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rFonts w:ascii="Times New Roman" w:cs="Times New Roman" w:eastAsia="Times New Roman" w:hAnsi="Times New Roman"/>
      <w:b/>
      <w:bCs/>
      <w:sz w:val="32"/>
      <w:szCs w:val="32"/>
    </w:rPr>
  </w:style>
  <w:style w:type="paragraph" w:styleId="Heading1">
    <w:name w:val="Heading 1"/>
    <w:basedOn w:val="Normal"/>
    <w:next w:val="Normal"/>
    <w:qFormat/>
    <w:pPr>
      <w:keepNext/>
      <w:spacing w:before="36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before="240" w:after="1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2026-10-31T15:52:13.569Z</dcterms:created>
  <dcterms:modified xsi:type="dcterms:W3CDTF">2026-10-31T15:52:13.571Z</dcterms:modified>
</cp:coreProperties>
</file>

<file path=docProps/custom.xml><?xml version="1.0" encoding="utf-8"?>
<Properties xmlns="http://schemas.openxmlformats.org/officeDocument/2006/custom-properties" xmlns:vt="http://schemas.openxmlformats.org/officeDocument/2006/docPropsVTypes"/>
</file>