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Модульная работа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ссылка на psd-макет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имеет 3 уровня сложности (по наростающей):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1й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“красные блоки” - обязательный уровень, за который можно максимально получить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2й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“желтые блоки” - дополнительные задания к предыдущему. Максимальная оценка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8,5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3й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“зеленые блоки” - усложненный, но вполне выполнимый уровень, за который вы можете получить максимум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Уровень считается закрытым, если выполнены все общие требования.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нельзя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выполнить верстку всей страницы, например, но без респонсива)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Общие требования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Валидность кода (проверяем на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Гибкость верстки (при добавлении/уменьшении контента сайт не валится)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Идентичность макету (PixelPerfect)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Чистота кода (нет лишних непонятных стилей и оберток)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Респонсив (изменения макета при уменьшении окна браузера до 320px)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Все материалы, которые вам могут понадобиться(картинки, иконки...), берем 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7368" cy="8912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368" cy="891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https://monosnap.com/file/Vv9B0SYWvuxTyQd4cOgLUs3qBXILIY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133.8582677165355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onosnap.com/file/Vv9B0SYWvuxTyQd4cOgLUs3qBXILIY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vBJXfJxs31h527am-bdE2iqSvrf-i0Yx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drive.google.com/open?id=12oMOVguwUoa9YZavw_GjS7CTlwo25H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