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Win Notes DB – High-Level Design Document</w:t>
      </w:r>
    </w:p>
    <w:p>
      <w:pPr>
        <w:pStyle w:val="Heading1"/>
      </w:pPr>
      <w:r>
        <w:t>1. Overview</w:t>
      </w:r>
    </w:p>
    <w:p>
      <w:r>
        <w:rPr>
          <w:sz w:val="22"/>
        </w:rPr>
        <w:t>The Win Notes DB is an internal application designed to centralize, structure, and make searchable the win notes shared across our sales organization. The tool serves as a knowledge base for current and future account executives (AEs), solutions engineers (SEs), and adjacent teams.</w:t>
      </w:r>
    </w:p>
    <w:p>
      <w:pPr>
        <w:pStyle w:val="Heading1"/>
      </w:pPr>
      <w:r>
        <w:t>2. Goals and Objectives</w:t>
      </w:r>
    </w:p>
    <w:p>
      <w:r>
        <w:rPr>
          <w:sz w:val="22"/>
        </w:rPr>
        <w:t>• Centralized access to historical win data</w:t>
      </w:r>
    </w:p>
    <w:p>
      <w:r>
        <w:rPr>
          <w:sz w:val="22"/>
        </w:rPr>
        <w:t>• Enhanced discoverability through search and tagging</w:t>
      </w:r>
    </w:p>
    <w:p>
      <w:r>
        <w:rPr>
          <w:sz w:val="22"/>
        </w:rPr>
        <w:t>• Improved onboarding and enablement of AEs and SEs</w:t>
      </w:r>
    </w:p>
    <w:p>
      <w:r>
        <w:rPr>
          <w:sz w:val="22"/>
        </w:rPr>
        <w:t>• Efficient insights into patterns and tactics across successful deals</w:t>
      </w:r>
    </w:p>
    <w:p>
      <w:r>
        <w:rPr>
          <w:sz w:val="22"/>
        </w:rPr>
        <w:t>• Scalable and secure foundation for future analytics or AI-driven summarization</w:t>
      </w:r>
    </w:p>
    <w:p>
      <w:pPr>
        <w:pStyle w:val="Heading1"/>
      </w:pPr>
      <w:r>
        <w:t>3. Primary Users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Account Executives</w:t>
            </w:r>
          </w:p>
        </w:tc>
        <w:tc>
          <w:tcPr>
            <w:tcW w:type="dxa" w:w="4320"/>
          </w:tcPr>
          <w:p>
            <w:r>
              <w:t>Contribute and consume win notes</w:t>
            </w:r>
          </w:p>
        </w:tc>
      </w:tr>
      <w:tr>
        <w:tc>
          <w:tcPr>
            <w:tcW w:type="dxa" w:w="4320"/>
          </w:tcPr>
          <w:p>
            <w:r>
              <w:t>Solutions Engineers</w:t>
            </w:r>
          </w:p>
        </w:tc>
        <w:tc>
          <w:tcPr>
            <w:tcW w:type="dxa" w:w="4320"/>
          </w:tcPr>
          <w:p>
            <w:r>
              <w:t>Contribute detailed technical win context</w:t>
            </w:r>
          </w:p>
        </w:tc>
      </w:tr>
      <w:tr>
        <w:tc>
          <w:tcPr>
            <w:tcW w:type="dxa" w:w="4320"/>
          </w:tcPr>
          <w:p>
            <w:r>
              <w:t>Enablement &amp; RevOps</w:t>
            </w:r>
          </w:p>
        </w:tc>
        <w:tc>
          <w:tcPr>
            <w:tcW w:type="dxa" w:w="4320"/>
          </w:tcPr>
          <w:p>
            <w:r>
              <w:t>Use insights to inform playbooks/training</w:t>
            </w:r>
          </w:p>
        </w:tc>
      </w:tr>
      <w:tr>
        <w:tc>
          <w:tcPr>
            <w:tcW w:type="dxa" w:w="4320"/>
          </w:tcPr>
          <w:p>
            <w:r>
              <w:t>Leadership</w:t>
            </w:r>
          </w:p>
        </w:tc>
        <w:tc>
          <w:tcPr>
            <w:tcW w:type="dxa" w:w="4320"/>
          </w:tcPr>
          <w:p>
            <w:r>
              <w:t>Discover trends across geographies/segments</w:t>
            </w:r>
          </w:p>
        </w:tc>
      </w:tr>
      <w:tr>
        <w:tc>
          <w:tcPr>
            <w:tcW w:type="dxa" w:w="4320"/>
          </w:tcPr>
          <w:p>
            <w:r>
              <w:t>Broader Org (View)</w:t>
            </w:r>
          </w:p>
        </w:tc>
        <w:tc>
          <w:tcPr>
            <w:tcW w:type="dxa" w:w="4320"/>
          </w:tcPr>
          <w:p>
            <w:r>
              <w:t>Read-only access for other internal stakeholders</w:t>
            </w:r>
          </w:p>
        </w:tc>
      </w:tr>
    </w:tbl>
    <w:p>
      <w:pPr>
        <w:pStyle w:val="Heading1"/>
      </w:pPr>
      <w:r>
        <w:t>4. Data Sources</w:t>
      </w:r>
    </w:p>
    <w:p>
      <w:r>
        <w:rPr>
          <w:sz w:val="22"/>
        </w:rPr>
        <w:t>Slack: Primary source via #win-alerts channel</w:t>
      </w:r>
    </w:p>
    <w:p>
      <w:r>
        <w:rPr>
          <w:sz w:val="22"/>
        </w:rPr>
        <w:t>Optional/Future: Salesforce integration depending on access</w:t>
      </w:r>
    </w:p>
    <w:p>
      <w:pPr>
        <w:pStyle w:val="Heading1"/>
      </w:pPr>
      <w:r>
        <w:t>5. Functional Requirements</w:t>
      </w:r>
    </w:p>
    <w:p>
      <w:pPr>
        <w:pStyle w:val="Heading2"/>
      </w:pPr>
      <w:r>
        <w:t>5.1 Data Ingestion</w:t>
      </w:r>
    </w:p>
    <w:p>
      <w:r>
        <w:rPr>
          <w:sz w:val="22"/>
        </w:rPr>
        <w:t>• Real-time or scheduled polling of #win-alerts</w:t>
      </w:r>
    </w:p>
    <w:p>
      <w:r>
        <w:rPr>
          <w:sz w:val="22"/>
        </w:rPr>
        <w:t>• Slack API integration via bot or webhook</w:t>
      </w:r>
    </w:p>
    <w:p>
      <w:r>
        <w:rPr>
          <w:sz w:val="22"/>
        </w:rPr>
        <w:t>• Basic NLP-based chunking of message content</w:t>
      </w:r>
    </w:p>
    <w:p>
      <w:r>
        <w:rPr>
          <w:sz w:val="22"/>
        </w:rPr>
        <w:t>• Metadata extraction (date, users, tags, links)</w:t>
      </w:r>
    </w:p>
    <w:p>
      <w:pPr>
        <w:pStyle w:val="Heading2"/>
      </w:pPr>
      <w:r>
        <w:t>5.2 Data Normalization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Customer Name</w:t>
            </w:r>
          </w:p>
        </w:tc>
        <w:tc>
          <w:tcPr>
            <w:tcW w:type="dxa" w:w="4320"/>
          </w:tcPr>
          <w:p>
            <w:r>
              <w:t>Name of the customer or account</w:t>
            </w:r>
          </w:p>
        </w:tc>
      </w:tr>
      <w:tr>
        <w:tc>
          <w:tcPr>
            <w:tcW w:type="dxa" w:w="4320"/>
          </w:tcPr>
          <w:p>
            <w:r>
              <w:t>Customer Profile</w:t>
            </w:r>
          </w:p>
        </w:tc>
        <w:tc>
          <w:tcPr>
            <w:tcW w:type="dxa" w:w="4320"/>
          </w:tcPr>
          <w:p>
            <w:r>
              <w:t>Industry, region, size, and brief context of the customer organization</w:t>
            </w:r>
          </w:p>
        </w:tc>
      </w:tr>
      <w:tr>
        <w:tc>
          <w:tcPr>
            <w:tcW w:type="dxa" w:w="4320"/>
          </w:tcPr>
          <w:p>
            <w:r>
              <w:t>Business Challenge</w:t>
            </w:r>
          </w:p>
        </w:tc>
        <w:tc>
          <w:tcPr>
            <w:tcW w:type="dxa" w:w="4320"/>
          </w:tcPr>
          <w:p>
            <w:r>
              <w:t>The customer’s pain points or the problem they were trying to solve</w:t>
            </w:r>
          </w:p>
        </w:tc>
      </w:tr>
      <w:tr>
        <w:tc>
          <w:tcPr>
            <w:tcW w:type="dxa" w:w="4320"/>
          </w:tcPr>
          <w:p>
            <w:r>
              <w:t>Why Nutanix, Why Now</w:t>
            </w:r>
          </w:p>
        </w:tc>
        <w:tc>
          <w:tcPr>
            <w:tcW w:type="dxa" w:w="4320"/>
          </w:tcPr>
          <w:p>
            <w:r>
              <w:t>Triggers for the deal: why the customer chose Nutanix and what made the timing right</w:t>
            </w:r>
          </w:p>
        </w:tc>
      </w:tr>
      <w:tr>
        <w:tc>
          <w:tcPr>
            <w:tcW w:type="dxa" w:w="4320"/>
          </w:tcPr>
          <w:p>
            <w:r>
              <w:t>Our Solution</w:t>
            </w:r>
          </w:p>
        </w:tc>
        <w:tc>
          <w:tcPr>
            <w:tcW w:type="dxa" w:w="4320"/>
          </w:tcPr>
          <w:p>
            <w:r>
              <w:t>Technical and business solution proposed, including Nutanix products used</w:t>
            </w:r>
          </w:p>
        </w:tc>
      </w:tr>
      <w:tr>
        <w:tc>
          <w:tcPr>
            <w:tcW w:type="dxa" w:w="4320"/>
          </w:tcPr>
          <w:p>
            <w:r>
              <w:t>Business Impact</w:t>
            </w:r>
          </w:p>
        </w:tc>
        <w:tc>
          <w:tcPr>
            <w:tcW w:type="dxa" w:w="4320"/>
          </w:tcPr>
          <w:p>
            <w:r>
              <w:t>Quantitative or qualitative benefits delivered</w:t>
            </w:r>
          </w:p>
        </w:tc>
      </w:tr>
      <w:tr>
        <w:tc>
          <w:tcPr>
            <w:tcW w:type="dxa" w:w="4320"/>
          </w:tcPr>
          <w:p>
            <w:r>
              <w:t>Customer Outcomes</w:t>
            </w:r>
          </w:p>
        </w:tc>
        <w:tc>
          <w:tcPr>
            <w:tcW w:type="dxa" w:w="4320"/>
          </w:tcPr>
          <w:p>
            <w:r>
              <w:t>Final measurable outcomes after implementation</w:t>
            </w:r>
          </w:p>
        </w:tc>
      </w:tr>
      <w:tr>
        <w:tc>
          <w:tcPr>
            <w:tcW w:type="dxa" w:w="4320"/>
          </w:tcPr>
          <w:p>
            <w:r>
              <w:t>Quotes from the Customer</w:t>
            </w:r>
          </w:p>
        </w:tc>
        <w:tc>
          <w:tcPr>
            <w:tcW w:type="dxa" w:w="4320"/>
          </w:tcPr>
          <w:p>
            <w:r>
              <w:t>Direct quotes or paraphrased feedback from customer stakeholders</w:t>
            </w:r>
          </w:p>
        </w:tc>
      </w:tr>
      <w:tr>
        <w:tc>
          <w:tcPr>
            <w:tcW w:type="dxa" w:w="4320"/>
          </w:tcPr>
          <w:p>
            <w:r>
              <w:t>Learnings &amp; Takeaways</w:t>
            </w:r>
          </w:p>
        </w:tc>
        <w:tc>
          <w:tcPr>
            <w:tcW w:type="dxa" w:w="4320"/>
          </w:tcPr>
          <w:p>
            <w:r>
              <w:t>Internal reflections: what worked, what didn’t, unexpected challenges, etc.</w:t>
            </w:r>
          </w:p>
        </w:tc>
      </w:tr>
      <w:tr>
        <w:tc>
          <w:tcPr>
            <w:tcW w:type="dxa" w:w="4320"/>
          </w:tcPr>
          <w:p>
            <w:r>
              <w:t>Competitive Solutions</w:t>
            </w:r>
          </w:p>
        </w:tc>
        <w:tc>
          <w:tcPr>
            <w:tcW w:type="dxa" w:w="4320"/>
          </w:tcPr>
          <w:p>
            <w:r>
              <w:t>Who we competed against and what alternatives were considered</w:t>
            </w:r>
          </w:p>
        </w:tc>
      </w:tr>
      <w:tr>
        <w:tc>
          <w:tcPr>
            <w:tcW w:type="dxa" w:w="4320"/>
          </w:tcPr>
          <w:p>
            <w:r>
              <w:t>Tactics / Strategy Summary</w:t>
            </w:r>
          </w:p>
        </w:tc>
        <w:tc>
          <w:tcPr>
            <w:tcW w:type="dxa" w:w="4320"/>
          </w:tcPr>
          <w:p>
            <w:r>
              <w:t>What unique strategies, plays, or value props were leveraged</w:t>
            </w:r>
          </w:p>
        </w:tc>
      </w:tr>
      <w:tr>
        <w:tc>
          <w:tcPr>
            <w:tcW w:type="dxa" w:w="4320"/>
          </w:tcPr>
          <w:p>
            <w:r>
              <w:t>Power of Partnership</w:t>
            </w:r>
          </w:p>
        </w:tc>
        <w:tc>
          <w:tcPr>
            <w:tcW w:type="dxa" w:w="4320"/>
          </w:tcPr>
          <w:p>
            <w:r>
              <w:t>Role of channel partners, alliances, or SI involvement</w:t>
            </w:r>
          </w:p>
        </w:tc>
      </w:tr>
      <w:tr>
        <w:tc>
          <w:tcPr>
            <w:tcW w:type="dxa" w:w="4320"/>
          </w:tcPr>
          <w:p>
            <w:r>
              <w:t>SE / AE Involved</w:t>
            </w:r>
          </w:p>
        </w:tc>
        <w:tc>
          <w:tcPr>
            <w:tcW w:type="dxa" w:w="4320"/>
          </w:tcPr>
          <w:p>
            <w:r>
              <w:t>Names or aliases of team members contributing to the win</w:t>
            </w:r>
          </w:p>
        </w:tc>
      </w:tr>
      <w:tr>
        <w:tc>
          <w:tcPr>
            <w:tcW w:type="dxa" w:w="4320"/>
          </w:tcPr>
          <w:p>
            <w:r>
              <w:t>Products Involved</w:t>
            </w:r>
          </w:p>
        </w:tc>
        <w:tc>
          <w:tcPr>
            <w:tcW w:type="dxa" w:w="4320"/>
          </w:tcPr>
          <w:p>
            <w:r>
              <w:t>Nutanix offerings mentioned</w:t>
            </w:r>
          </w:p>
        </w:tc>
      </w:tr>
      <w:tr>
        <w:tc>
          <w:tcPr>
            <w:tcW w:type="dxa" w:w="4320"/>
          </w:tcPr>
          <w:p>
            <w:r>
              <w:t>Region / Geography</w:t>
            </w:r>
          </w:p>
        </w:tc>
        <w:tc>
          <w:tcPr>
            <w:tcW w:type="dxa" w:w="4320"/>
          </w:tcPr>
          <w:p>
            <w:r>
              <w:t>Customer region for segmentation and GTM insights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When the win was announced or captured</w:t>
            </w:r>
          </w:p>
        </w:tc>
      </w:tr>
      <w:tr>
        <w:tc>
          <w:tcPr>
            <w:tcW w:type="dxa" w:w="4320"/>
          </w:tcPr>
          <w:p>
            <w:r>
              <w:t>Tags / Keywords</w:t>
            </w:r>
          </w:p>
        </w:tc>
        <w:tc>
          <w:tcPr>
            <w:tcW w:type="dxa" w:w="4320"/>
          </w:tcPr>
          <w:p>
            <w:r>
              <w:t>Free-form tags for flexible filtering</w:t>
            </w:r>
          </w:p>
        </w:tc>
      </w:tr>
      <w:tr>
        <w:tc>
          <w:tcPr>
            <w:tcW w:type="dxa" w:w="4320"/>
          </w:tcPr>
          <w:p>
            <w:r>
              <w:t>Full Source Text</w:t>
            </w:r>
          </w:p>
        </w:tc>
        <w:tc>
          <w:tcPr>
            <w:tcW w:type="dxa" w:w="4320"/>
          </w:tcPr>
          <w:p>
            <w:r>
              <w:t>The original unstructured content used to generate this entry</w:t>
            </w:r>
          </w:p>
        </w:tc>
      </w:tr>
    </w:tbl>
    <w:p>
      <w:pPr>
        <w:pStyle w:val="Heading2"/>
      </w:pPr>
      <w:r>
        <w:t>5.3 Application Features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Search &amp; Filter</w:t>
            </w:r>
          </w:p>
        </w:tc>
        <w:tc>
          <w:tcPr>
            <w:tcW w:type="dxa" w:w="4320"/>
          </w:tcPr>
          <w:p>
            <w:r>
              <w:t>Search win notes by AE, SE, tactic, product, region, keyword, etc.</w:t>
            </w:r>
          </w:p>
        </w:tc>
      </w:tr>
      <w:tr>
        <w:tc>
          <w:tcPr>
            <w:tcW w:type="dxa" w:w="4320"/>
          </w:tcPr>
          <w:p>
            <w:r>
              <w:t>Note Detail View</w:t>
            </w:r>
          </w:p>
        </w:tc>
        <w:tc>
          <w:tcPr>
            <w:tcW w:type="dxa" w:w="4320"/>
          </w:tcPr>
          <w:p>
            <w:r>
              <w:t>View full win note, extracted metadata, and original source text</w:t>
            </w:r>
          </w:p>
        </w:tc>
      </w:tr>
      <w:tr>
        <w:tc>
          <w:tcPr>
            <w:tcW w:type="dxa" w:w="4320"/>
          </w:tcPr>
          <w:p>
            <w:r>
              <w:t>Admin Tools</w:t>
            </w:r>
          </w:p>
        </w:tc>
        <w:tc>
          <w:tcPr>
            <w:tcW w:type="dxa" w:w="4320"/>
          </w:tcPr>
          <w:p>
            <w:r>
              <w:t>Edit fields, correct extractions, flag entries, and manage access</w:t>
            </w:r>
          </w:p>
        </w:tc>
      </w:tr>
      <w:tr>
        <w:tc>
          <w:tcPr>
            <w:tcW w:type="dxa" w:w="4320"/>
          </w:tcPr>
          <w:p>
            <w:r>
              <w:t>Export / Share</w:t>
            </w:r>
          </w:p>
        </w:tc>
        <w:tc>
          <w:tcPr>
            <w:tcW w:type="dxa" w:w="4320"/>
          </w:tcPr>
          <w:p>
            <w:r>
              <w:t>Export filtered results as CSV or share internal links</w:t>
            </w:r>
          </w:p>
        </w:tc>
      </w:tr>
      <w:tr>
        <w:tc>
          <w:tcPr>
            <w:tcW w:type="dxa" w:w="4320"/>
          </w:tcPr>
          <w:p>
            <w:r>
              <w:t>User Authentication</w:t>
            </w:r>
          </w:p>
        </w:tc>
        <w:tc>
          <w:tcPr>
            <w:tcW w:type="dxa" w:w="4320"/>
          </w:tcPr>
          <w:p>
            <w:r>
              <w:t>SSO-based login with role-based access control</w:t>
            </w:r>
          </w:p>
        </w:tc>
      </w:tr>
      <w:tr>
        <w:tc>
          <w:tcPr>
            <w:tcW w:type="dxa" w:w="4320"/>
          </w:tcPr>
          <w:p>
            <w:r>
              <w:t>Responsive UI</w:t>
            </w:r>
          </w:p>
        </w:tc>
        <w:tc>
          <w:tcPr>
            <w:tcW w:type="dxa" w:w="4320"/>
          </w:tcPr>
          <w:p>
            <w:r>
              <w:t>Optimized interface for desktop and mobile usage</w:t>
            </w:r>
          </w:p>
        </w:tc>
      </w:tr>
    </w:tbl>
    <w:p>
      <w:pPr>
        <w:pStyle w:val="Heading1"/>
      </w:pPr>
      <w:r>
        <w:t>6. Architecture</w:t>
      </w:r>
    </w:p>
    <w:p>
      <w:r>
        <w:rPr>
          <w:sz w:val="22"/>
        </w:rPr>
        <w:t>The architecture for the Win Notes DB is designed for flexibility, internal hosting, and modular growth. It emphasizes local LLM inferencing using Nutanix Enterprise AI and a fully containerized deployment model.</w:t>
      </w:r>
    </w:p>
    <w:p>
      <w:pPr>
        <w:pStyle w:val="Heading2"/>
      </w:pPr>
      <w:r>
        <w:t>6.1 Architecture Overview</w:t>
      </w:r>
    </w:p>
    <w:p>
      <w:r>
        <w:rPr>
          <w:sz w:val="22"/>
        </w:rPr>
        <w:t>Slack / External Sources</w:t>
        <w:br/>
        <w:t xml:space="preserve">        │</w:t>
        <w:br/>
        <w:t xml:space="preserve">        ▼</w:t>
        <w:br/>
        <w:t xml:space="preserve">   N8N Workflow Orchestrator</w:t>
        <w:br/>
        <w:t xml:space="preserve">   (Ingestion + LLM Processing)</w:t>
        <w:br/>
        <w:t xml:space="preserve">        │</w:t>
        <w:br/>
        <w:t xml:space="preserve">        ▼</w:t>
        <w:br/>
        <w:t>Internal LLM Inferencing via</w:t>
        <w:br/>
        <w:t>Nutanix Enterprise AI (LLaMA 3 13B PS)</w:t>
        <w:br/>
        <w:t xml:space="preserve">        │</w:t>
        <w:br/>
        <w:t xml:space="preserve">        ▼</w:t>
        <w:br/>
        <w:t xml:space="preserve">  Structured Output → PostgreSQL</w:t>
        <w:br/>
        <w:t xml:space="preserve">        │</w:t>
        <w:br/>
        <w:t xml:space="preserve">        ▼</w:t>
        <w:br/>
        <w:t>Kubernetes-hosted Frontend UI + Backend APIs</w:t>
      </w:r>
    </w:p>
    <w:p>
      <w:pPr>
        <w:pStyle w:val="Heading2"/>
      </w:pPr>
      <w:r>
        <w:t>6.2 Component Breakdown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Technology / Platform</w:t>
            </w:r>
          </w:p>
        </w:tc>
      </w:tr>
      <w:tr>
        <w:tc>
          <w:tcPr>
            <w:tcW w:type="dxa" w:w="4320"/>
          </w:tcPr>
          <w:p>
            <w:r>
              <w:t>Ingestion Layer</w:t>
            </w:r>
          </w:p>
        </w:tc>
        <w:tc>
          <w:tcPr>
            <w:tcW w:type="dxa" w:w="4320"/>
          </w:tcPr>
          <w:p>
            <w:r>
              <w:t>N8N (self-hosted) workflows integrating with Slack APIs and other external inputs</w:t>
            </w:r>
          </w:p>
        </w:tc>
      </w:tr>
      <w:tr>
        <w:tc>
          <w:tcPr>
            <w:tcW w:type="dxa" w:w="4320"/>
          </w:tcPr>
          <w:p>
            <w:r>
              <w:t>LLM Processing</w:t>
            </w:r>
          </w:p>
        </w:tc>
        <w:tc>
          <w:tcPr>
            <w:tcW w:type="dxa" w:w="4320"/>
          </w:tcPr>
          <w:p>
            <w:r>
              <w:t>Nutanix Enterprise AI using LLaMA 3 13B PS for metadata extraction, summarization, etc.</w:t>
            </w:r>
          </w:p>
        </w:tc>
      </w:tr>
      <w:tr>
        <w:tc>
          <w:tcPr>
            <w:tcW w:type="dxa" w:w="4320"/>
          </w:tcPr>
          <w:p>
            <w:r>
              <w:t>Orchestration Logic</w:t>
            </w:r>
          </w:p>
        </w:tc>
        <w:tc>
          <w:tcPr>
            <w:tcW w:type="dxa" w:w="4320"/>
          </w:tcPr>
          <w:p>
            <w:r>
              <w:t>N8N will manage the pipeline: trigger → extract → LLM call → normalize → DB write</w:t>
            </w:r>
          </w:p>
        </w:tc>
      </w:tr>
      <w:tr>
        <w:tc>
          <w:tcPr>
            <w:tcW w:type="dxa" w:w="4320"/>
          </w:tcPr>
          <w:p>
            <w:r>
              <w:t>LLM Hosting</w:t>
            </w:r>
          </w:p>
        </w:tc>
        <w:tc>
          <w:tcPr>
            <w:tcW w:type="dxa" w:w="4320"/>
          </w:tcPr>
          <w:p>
            <w:r>
              <w:t>Internal inference via Nutanix Enterprise AI on GPU infrastructure</w:t>
            </w:r>
          </w:p>
        </w:tc>
      </w:tr>
      <w:tr>
        <w:tc>
          <w:tcPr>
            <w:tcW w:type="dxa" w:w="4320"/>
          </w:tcPr>
          <w:p>
            <w:r>
              <w:t>Database</w:t>
            </w:r>
          </w:p>
        </w:tc>
        <w:tc>
          <w:tcPr>
            <w:tcW w:type="dxa" w:w="4320"/>
          </w:tcPr>
          <w:p>
            <w:r>
              <w:t>PostgreSQL, containerized and optionally running on Kubernetes (TBD final architecture)</w:t>
            </w:r>
          </w:p>
        </w:tc>
      </w:tr>
      <w:tr>
        <w:tc>
          <w:tcPr>
            <w:tcW w:type="dxa" w:w="4320"/>
          </w:tcPr>
          <w:p>
            <w:r>
              <w:t>Backend API</w:t>
            </w:r>
          </w:p>
        </w:tc>
        <w:tc>
          <w:tcPr>
            <w:tcW w:type="dxa" w:w="4320"/>
          </w:tcPr>
          <w:p>
            <w:r>
              <w:t>Node.js or FastAPI container deployed on Kubernetes</w:t>
            </w:r>
          </w:p>
        </w:tc>
      </w:tr>
      <w:tr>
        <w:tc>
          <w:tcPr>
            <w:tcW w:type="dxa" w:w="4320"/>
          </w:tcPr>
          <w:p>
            <w:r>
              <w:t>Frontend UI</w:t>
            </w:r>
          </w:p>
        </w:tc>
        <w:tc>
          <w:tcPr>
            <w:tcW w:type="dxa" w:w="4320"/>
          </w:tcPr>
          <w:p>
            <w:r>
              <w:t>React.js + Tailwind or equivalent, hosted in Kubernetes</w:t>
            </w:r>
          </w:p>
        </w:tc>
      </w:tr>
      <w:tr>
        <w:tc>
          <w:tcPr>
            <w:tcW w:type="dxa" w:w="4320"/>
          </w:tcPr>
          <w:p>
            <w:r>
              <w:t>Authentication</w:t>
            </w:r>
          </w:p>
        </w:tc>
        <w:tc>
          <w:tcPr>
            <w:tcW w:type="dxa" w:w="4320"/>
          </w:tcPr>
          <w:p>
            <w:r>
              <w:t>Google SSO or Auth0 / Clerk-based OAuth</w:t>
            </w:r>
          </w:p>
        </w:tc>
      </w:tr>
    </w:tbl>
    <w:p>
      <w:pPr>
        <w:pStyle w:val="Heading1"/>
      </w:pPr>
      <w:r>
        <w:t>7. Security &amp; Access Control</w:t>
      </w:r>
    </w:p>
    <w:p>
      <w:r>
        <w:rPr>
          <w:sz w:val="22"/>
        </w:rPr>
        <w:t>The Win Notes DB will enforce strict role-based access to maintain data integrity and control over the structured win content.</w:t>
      </w:r>
    </w:p>
    <w:p>
      <w:pPr>
        <w:pStyle w:val="Heading2"/>
      </w:pPr>
      <w:r>
        <w:t>7.1 Authentication</w:t>
      </w:r>
    </w:p>
    <w:p>
      <w:r>
        <w:rPr>
          <w:sz w:val="22"/>
        </w:rPr>
        <w:t>• SSO-based login (Google OAuth or enterprise IdP)</w:t>
        <w:br/>
        <w:t>• All users must authenticate to access the application</w:t>
      </w:r>
    </w:p>
    <w:p>
      <w:pPr>
        <w:pStyle w:val="Heading2"/>
      </w:pPr>
      <w:r>
        <w:t>7.2 Authorization &amp; Roles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Permissions</w:t>
            </w:r>
          </w:p>
        </w:tc>
      </w:tr>
      <w:tr>
        <w:tc>
          <w:tcPr>
            <w:tcW w:type="dxa" w:w="4320"/>
          </w:tcPr>
          <w:p>
            <w:r>
              <w:t>Admin</w:t>
            </w:r>
          </w:p>
        </w:tc>
        <w:tc>
          <w:tcPr>
            <w:tcW w:type="dxa" w:w="4320"/>
          </w:tcPr>
          <w:p>
            <w:r>
              <w:t>Full access: view, edit, correct, manage tags, and oversee submissions</w:t>
            </w:r>
          </w:p>
        </w:tc>
      </w:tr>
      <w:tr>
        <w:tc>
          <w:tcPr>
            <w:tcW w:type="dxa" w:w="4320"/>
          </w:tcPr>
          <w:p>
            <w:r>
              <w:t>Standard User (SEs, AEs, others)</w:t>
            </w:r>
          </w:p>
        </w:tc>
        <w:tc>
          <w:tcPr>
            <w:tcW w:type="dxa" w:w="4320"/>
          </w:tcPr>
          <w:p>
            <w:r>
              <w:t>View-only access; no ability to edit or delete content</w:t>
            </w:r>
          </w:p>
        </w:tc>
      </w:tr>
    </w:tbl>
    <w:p>
      <w:pPr>
        <w:pStyle w:val="Heading2"/>
      </w:pPr>
      <w:r>
        <w:t>7.3 Error Reporting Workflow</w:t>
      </w:r>
    </w:p>
    <w:p>
      <w:r>
        <w:rPr>
          <w:sz w:val="22"/>
        </w:rPr>
        <w:t>To ensure data quality without exposing write permissions:</w:t>
        <w:br/>
        <w:br/>
        <w:t>• Each entry in the UI will include a “Flag Issue” button</w:t>
        <w:br/>
        <w:t>• Users can submit a short note describing what’s incorrect or missing</w:t>
        <w:br/>
        <w:t>• The flagged entry and note are routed to the Platform Administrator</w:t>
        <w:br/>
        <w:t>• Admins will review and make necessary corrections through the admin interface</w:t>
        <w:br/>
        <w:br/>
        <w:t>All changes are logged to preserve an audit trail and maintain transparency for downstream systems or analytics.</w:t>
      </w:r>
    </w:p>
    <w:p>
      <w:pPr>
        <w:pStyle w:val="Heading1"/>
      </w:pPr>
      <w:r>
        <w:t>8. Performance &amp; Scalability</w:t>
      </w:r>
    </w:p>
    <w:p>
      <w:r>
        <w:rPr>
          <w:sz w:val="22"/>
        </w:rPr>
        <w:t>The system is designed to be highly responsive and able to scale with user growth.</w:t>
        <w:br/>
        <w:br/>
        <w:t>• Sub-second search and query response times</w:t>
        <w:br/>
        <w:t>• Horizontal scalability to support 100–10,000+ concurrent users</w:t>
        <w:br/>
        <w:t>• Modular Kubernetes-based deployment for backend and frontend</w:t>
        <w:br/>
        <w:t>• Efficient NLP pipelines using internal Nutanix-hosted inferencing</w:t>
      </w:r>
    </w:p>
    <w:p>
      <w:pPr>
        <w:pStyle w:val="Heading1"/>
      </w:pPr>
      <w:r>
        <w:t>9. Phased Development Plan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Deliverables</w:t>
            </w:r>
          </w:p>
        </w:tc>
      </w:tr>
      <w:tr>
        <w:tc>
          <w:tcPr>
            <w:tcW w:type="dxa" w:w="4320"/>
          </w:tcPr>
          <w:p>
            <w:r>
              <w:t>Phase 1</w:t>
            </w:r>
          </w:p>
        </w:tc>
        <w:tc>
          <w:tcPr>
            <w:tcW w:type="dxa" w:w="4320"/>
          </w:tcPr>
          <w:p>
            <w:r>
              <w:t>Slack ingestion + basic UI + search/filter</w:t>
            </w:r>
          </w:p>
        </w:tc>
      </w:tr>
      <w:tr>
        <w:tc>
          <w:tcPr>
            <w:tcW w:type="dxa" w:w="4320"/>
          </w:tcPr>
          <w:p>
            <w:r>
              <w:t>Phase 2</w:t>
            </w:r>
          </w:p>
        </w:tc>
        <w:tc>
          <w:tcPr>
            <w:tcW w:type="dxa" w:w="4320"/>
          </w:tcPr>
          <w:p>
            <w:r>
              <w:t>Tagging, metadata extraction, user auth</w:t>
            </w:r>
          </w:p>
        </w:tc>
      </w:tr>
      <w:tr>
        <w:tc>
          <w:tcPr>
            <w:tcW w:type="dxa" w:w="4320"/>
          </w:tcPr>
          <w:p>
            <w:r>
              <w:t>Phase 3</w:t>
            </w:r>
          </w:p>
        </w:tc>
        <w:tc>
          <w:tcPr>
            <w:tcW w:type="dxa" w:w="4320"/>
          </w:tcPr>
          <w:p>
            <w:r>
              <w:t>GPT summarization, export features, SE/AE usage dashboard</w:t>
            </w:r>
          </w:p>
        </w:tc>
      </w:tr>
      <w:tr>
        <w:tc>
          <w:tcPr>
            <w:tcW w:type="dxa" w:w="4320"/>
          </w:tcPr>
          <w:p>
            <w:r>
              <w:t>Phase 4</w:t>
            </w:r>
          </w:p>
        </w:tc>
        <w:tc>
          <w:tcPr>
            <w:tcW w:type="dxa" w:w="4320"/>
          </w:tcPr>
          <w:p>
            <w:r>
              <w:t>Optional SFDC integration, advanced insights, AI assistance</w:t>
            </w:r>
          </w:p>
        </w:tc>
      </w:tr>
    </w:tbl>
    <w:p>
      <w:pPr>
        <w:pStyle w:val="Heading1"/>
      </w:pPr>
      <w:r>
        <w:t>10. Future Considerations</w:t>
      </w:r>
    </w:p>
    <w:p>
      <w:r>
        <w:rPr>
          <w:sz w:val="22"/>
        </w:rPr>
        <w:t>• GPT-based Q&amp;A (e.g., “Show me how we’ve beaten Competitor X in Healthcare”)</w:t>
      </w:r>
    </w:p>
    <w:p>
      <w:r>
        <w:rPr>
          <w:sz w:val="22"/>
        </w:rPr>
        <w:t>• Insights dashboard (top win tactics, win rate by region)</w:t>
      </w:r>
    </w:p>
    <w:p>
      <w:r>
        <w:rPr>
          <w:sz w:val="22"/>
        </w:rPr>
        <w:t>• Integration into SE enablement platforms or LMS</w:t>
      </w:r>
    </w:p>
    <w:p>
      <w:r>
        <w:rPr>
          <w:sz w:val="22"/>
        </w:rPr>
        <w:t>• Support for multi-source ingestion (email, Gong, Salesforce notes)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