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Зангиров Александр 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Лабораторная работа № 3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Построение логических схем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i w:val="false"/>
          <w:iCs w:val="false"/>
          <w:sz w:val="20"/>
          <w:szCs w:val="20"/>
          <w:lang w:val="ru-RU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1. Таблица истинности</w:t>
      </w:r>
    </w:p>
    <w:tbl>
      <w:tblPr>
        <w:tblW w:w="864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y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z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F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2. Построение логической функции (СДНФ)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Функция равна 1 для наборов (0,0,0), (0,0,1), (0,1,1), (1,0,1), (1,1,0), (1,1,1). Соответствующая СДНФ: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 = (¬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¬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i w:val="false"/>
          <w:iCs w:val="false"/>
          <w:sz w:val="20"/>
          <w:szCs w:val="20"/>
          <w:lang w:val="ru-RU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i w:val="false"/>
          <w:iCs w:val="false"/>
          <w:sz w:val="20"/>
          <w:szCs w:val="20"/>
          <w:lang w:val="ru-RU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3. Минимизация функции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Минимизированное выражение: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 = ¬(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x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)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y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z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i w:val="false"/>
          <w:iCs w:val="false"/>
          <w:sz w:val="20"/>
          <w:szCs w:val="20"/>
          <w:lang w:val="ru-RU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4. Оценка сложности схемы</w:t>
      </w:r>
    </w:p>
    <w:p>
      <w:pPr>
        <w:pStyle w:val="Normal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ubtitle"/>
              <w:widowControl/>
              <w:bidi w:val="0"/>
              <w:spacing w:lineRule="auto" w:line="240" w:before="0" w:after="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lang w:val="en-US" w:eastAsia="en-US" w:bidi="ar-SA"/>
              </w:rPr>
              <w:t>Элемент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ubtitle"/>
              <w:widowControl/>
              <w:bidi w:val="0"/>
              <w:spacing w:lineRule="auto" w:line="240" w:before="0" w:after="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lang w:val="en-US" w:eastAsia="en-US" w:bidi="ar-SA"/>
              </w:rPr>
              <w:t>Выражение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ubtitle"/>
              <w:widowControl/>
              <w:bidi w:val="0"/>
              <w:spacing w:lineRule="auto" w:line="240" w:before="0" w:after="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lang w:val="en-US" w:eastAsia="en-US" w:bidi="ar-SA"/>
              </w:rPr>
              <w:t>Входы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AND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x</w:t>
            </w:r>
            <w:r>
              <w:rPr>
                <w:rStyle w:val="SubtleEmphasis"/>
                <w:rFonts w:eastAsia="ＭＳ ゴシック"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∧</w:t>
            </w:r>
            <w:r>
              <w:rPr>
                <w:rStyle w:val="SubtleEmphasis"/>
                <w:rFonts w:eastAsia="ＭＳ ゴシック"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NOT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ubtitle"/>
              <w:bidi w:val="0"/>
              <w:spacing w:lineRule="auto" w:line="240"/>
              <w:ind w:hanging="0" w:left="0" w:right="-85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¬</w:t>
            </w: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lang w:val="en-US"/>
              </w:rPr>
              <w:t>(x</w:t>
            </w:r>
            <w:r>
              <w:rPr>
                <w:rStyle w:val="SubtleEmphasis"/>
                <w:rFonts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∧</w:t>
            </w:r>
            <w:r>
              <w:rPr>
                <w:rStyle w:val="SubtleEmphasis"/>
                <w:rFonts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z)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y</w:t>
            </w:r>
            <w:r>
              <w:rPr>
                <w:rStyle w:val="SubtleEmphasis"/>
                <w:rFonts w:eastAsia="ＭＳ ゴシック"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∨z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OR (</w:t>
            </w:r>
            <w:r>
              <w:rPr>
                <w:rFonts w:eastAsia="ＭＳ ゴシック" w:cs="" w:ascii="Calibri" w:hAnsi="Calibri"/>
                <w:sz w:val="24"/>
                <w:szCs w:val="24"/>
                <w:lang w:val="ru-RU"/>
              </w:rPr>
              <w:t>финальный)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ubtitle"/>
              <w:bidi w:val="0"/>
              <w:spacing w:lineRule="auto" w:line="240"/>
              <w:jc w:val="left"/>
              <w:rPr>
                <w:rStyle w:val="SubtleEmphasis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¬(x</w:t>
            </w:r>
            <w:r>
              <w:rPr>
                <w:rStyle w:val="SubtleEmphasis"/>
                <w:rFonts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∧</w:t>
            </w: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 xml:space="preserve">z) </w:t>
            </w:r>
            <w:r>
              <w:rPr>
                <w:rStyle w:val="SubtleEmphasis"/>
                <w:rFonts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∨</w:t>
            </w: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 xml:space="preserve"> (y </w:t>
            </w:r>
            <w:r>
              <w:rPr>
                <w:rStyle w:val="SubtleEmphasis"/>
                <w:rFonts w:cs="Cambria Math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∨</w:t>
            </w:r>
            <w:r>
              <w:rPr>
                <w:rStyle w:val="SubtleEmphasis"/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 xml:space="preserve"> z)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</w:rPr>
            </w:pPr>
            <w:r>
              <w:rPr>
                <w:rFonts w:eastAsia="ＭＳ ゴシック" w:cs="" w:ascii="Calibri" w:hAnsi="Calibri"/>
                <w:sz w:val="24"/>
                <w:szCs w:val="24"/>
              </w:rPr>
              <w:t>Итог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</w:rPr>
            </w:pPr>
            <w:r>
              <w:rPr>
                <w:rFonts w:eastAsia="ＭＳ ゴシック" w:cs="" w:ascii="Calibri" w:hAnsi="Calibri"/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 w:eastAsia="ＭＳ ゴシック" w:cs=""/>
                <w:sz w:val="24"/>
                <w:szCs w:val="24"/>
                <w:lang w:val="en-US"/>
              </w:rPr>
            </w:pPr>
            <w:r>
              <w:rPr>
                <w:rFonts w:eastAsia="ＭＳ ゴシック" w:cs="" w:ascii="Calibri" w:hAnsi="Calibri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br/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Цена схемы: 7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Контрольные вопросы и ответы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Для чего используется алгебра логики?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Для формального описания, анализа и синтеза переключательных и цифровых схем, представления логических функций, оптимизации аппаратных и программных реализаций.</w:t>
      </w:r>
    </w:p>
    <w:p>
      <w:pPr>
        <w:pStyle w:val="Normal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/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2. Определения: двоичная переменная, переключательная функция, логический элемент.</w:t>
      </w:r>
    </w:p>
    <w:p>
      <w:pPr>
        <w:pStyle w:val="Normal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/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Определения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ru-RU"/>
        </w:rPr>
        <w:t xml:space="preserve">Двоичная переменная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— величина, принимающая значения 0 или 1.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Переключательная функция — отображение из {0,1}ⁿ в {0,1}.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ru-RU"/>
        </w:rPr>
        <w:t xml:space="preserve">Логический элемент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— физическое устройство, реализующее базовую логическую операцию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AND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OR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NOT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и др.).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Базовые и составные логические функции.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Базовые: NOT, AND, OR. Составные: XOR, NAND, NOR и др.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Основные законы булевой алгебры.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Идемпотентность: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Коммутативность: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Ассоциативность: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),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=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Дистрибутивность: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)=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;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)= 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∧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(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A</w:t>
      </w:r>
      <w:r>
        <w:rPr>
          <w:rStyle w:val="SubtleEmphasis"/>
          <w:rFonts w:cs="Cambria Math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∨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)</w:t>
      </w:r>
    </w:p>
    <w:p>
      <w:pPr>
        <w:pStyle w:val="Normal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/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Этапы построения логической схемы.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1) Таблица истинности; 2) СДНФ/СКНФ; 3) Минимизация; 4) Перевод к базису; 5) Оценка цены.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Зачем упрощать функцию?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Чтобы сократить количество элементов, входов и задержку, снизить стоимость и энергопотребление.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Что такое цена схемы?</w:t>
      </w:r>
    </w:p>
    <w:p>
      <w:pPr>
        <w:pStyle w:val="Subtitle"/>
        <w:bidi w:val="0"/>
        <w:spacing w:lineRule="auto" w:line="240"/>
        <w:jc w:val="left"/>
        <w:rPr>
          <w:rStyle w:val="SubtleEmphasis"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Сумма входов всех логических элементов в реализации функции.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7f"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LibreOffice/24.2.6.2$Windows_X86_64 LibreOffice_project/ef66aa7e36a1bb8e65bfbc63aba53045a14d0871</Application>
  <AppVersion>15.0000</AppVersion>
  <Pages>2</Pages>
  <Words>313</Words>
  <Characters>1522</Characters>
  <CharactersWithSpaces>1746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2025-05-29T23:22:37Z</dcterms:created>
  <dc:creator/>
  <dc:description/>
  <dc:language>ru-RU</dc:language>
  <cp:lastModifiedBy/>
  <dcterms:modified xsi:type="dcterms:W3CDTF">2025-05-29T23:39:29Z</dcterms:modified>
  <cp:revision>1</cp:revision>
  <dc:subject/>
  <dc:title/>
</cp:coreProperties>
</file>