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微软雅黑"/>
          <w:b/>
          <w:color w:val="1F4E79"/>
          <w:sz w:val="48"/>
        </w:rPr>
        <w:t>十月经营速览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1F4E79"/>
                <w:sz w:val="40"/>
              </w:rPr>
              <w:t>1.24亿</w:t>
            </w:r>
          </w:p>
        </w:tc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1F4E79"/>
                <w:sz w:val="40"/>
              </w:rPr>
              <w:t>38.2%</w:t>
            </w:r>
          </w:p>
        </w:tc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1F4E79"/>
                <w:sz w:val="40"/>
              </w:rPr>
              <w:t>91.5</w:t>
            </w:r>
          </w:p>
        </w:tc>
      </w:tr>
      <w:tr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404040"/>
                <w:sz w:val="18"/>
              </w:rPr>
              <w:t>当月营收</w:t>
            </w:r>
          </w:p>
        </w:tc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404040"/>
                <w:sz w:val="18"/>
              </w:rPr>
              <w:t>同比增速</w:t>
            </w:r>
          </w:p>
        </w:tc>
        <w:tc>
          <w:tcPr>
            <w:tcW w:type="dxa" w:w="2880"/>
            <w:shd w:val="clear" w:fill="DEEBF7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404040"/>
                <w:sz w:val="18"/>
              </w:rPr>
              <w:t>NPS</w:t>
            </w:r>
          </w:p>
        </w:tc>
      </w:tr>
    </w:tbl>
    <w:p/>
    <w:p>
      <w:r>
        <w:rPr>
          <w:rFonts w:ascii="Calibri" w:hAnsi="Calibri" w:eastAsia="等线"/>
          <w:b w:val="0"/>
          <w:color w:val="8C8C8C"/>
          <w:sz w:val="20"/>
        </w:rPr>
        <w:t>数据截至 2026-10-07 · 来源：经营分析平台</w:t>
      </w:r>
    </w:p>
    <w:sectPr w:rsidR="00FC693F" w:rsidRPr="0006063C" w:rsidSect="00034616">
      <w:pgSz w:w="12240" w:h="15840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