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rPr>
          <w:trHeight w:val="68" w:hRule="exact"/>
        </w:trPr>
        <w:tc>
          <w:tcPr>
            <w:tcW w:type="dxa" w:w="8640"/>
            <w:shd w:val="clear" w:fill="2E75B6"/>
          </w:tcPr>
          <w:p/>
        </w:tc>
      </w:tr>
    </w:tbl>
    <w:p>
      <w:pPr>
        <w:spacing w:after="360"/>
      </w:pPr>
    </w:p>
    <w:p>
      <w:pPr>
        <w:jc w:val="left"/>
      </w:pPr>
      <w:r>
        <w:rPr>
          <w:rFonts w:ascii="Calibri" w:hAnsi="Calibri" w:eastAsia="微软雅黑"/>
          <w:b/>
          <w:color w:val="262626"/>
          <w:sz w:val="60"/>
        </w:rPr>
        <w:t>供应链数字化转型评估</w:t>
      </w:r>
    </w:p>
    <w:p>
      <w:pPr>
        <w:spacing w:before="200"/>
      </w:pPr>
      <w:r>
        <w:rPr>
          <w:rFonts w:ascii="Calibri" w:hAnsi="Calibri" w:eastAsia="等线"/>
          <w:b w:val="0"/>
          <w:color w:val="595959"/>
          <w:sz w:val="28"/>
        </w:rPr>
        <w:t>现状、差距与三年路径</w:t>
      </w:r>
    </w:p>
    <w:p>
      <w:pPr>
        <w:spacing w:before="560"/>
      </w:pPr>
      <w:r>
        <w:rPr>
          <w:rFonts w:ascii="Calibri" w:hAnsi="Calibri" w:eastAsia="等线"/>
          <w:b w:val="0"/>
          <w:color w:val="8C8C8C"/>
          <w:sz w:val="21"/>
        </w:rPr>
        <w:t>找数科技咨询</w:t>
        <w:br/>
        <w:t>2026 年 10 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