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rPr>
          <w:trHeight w:val="3685" w:hRule="exact"/>
        </w:trPr>
        <w:tc>
          <w:tcPr>
            <w:tcW w:type="dxa" w:w="8640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52"/>
              </w:rPr>
              <w:t>二〇二六年度经营分析报告</w:t>
            </w:r>
          </w:p>
        </w:tc>
      </w:tr>
      <w:tr>
        <w:trPr>
          <w:trHeight w:val="1247" w:hRule="exact"/>
        </w:trPr>
        <w:tc>
          <w:tcPr>
            <w:tcW w:type="dxa" w:w="8640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FFFFFF"/>
                <w:sz w:val="28"/>
              </w:rPr>
              <w:t>找数科技 · 数据智能事业部</w:t>
            </w:r>
          </w:p>
        </w:tc>
      </w:tr>
      <w:tr>
        <w:trPr>
          <w:trHeight w:val="2268" w:hRule="exact"/>
        </w:trPr>
        <w:tc>
          <w:tcPr>
            <w:tcW w:type="dxa" w:w="8640"/>
          </w:tcPr>
          <w:p>
            <w:pPr>
              <w:jc w:val="center"/>
            </w:pPr>
            <w:r>
              <w:rPr>
                <w:rFonts w:ascii="Calibri" w:hAnsi="Calibri" w:eastAsia="等线"/>
                <w:b w:val="0"/>
                <w:color w:val="666666"/>
                <w:sz w:val="21"/>
              </w:rPr>
              <w:t>编制：数据分析组 · 2026 年 10 月</w:t>
            </w:r>
          </w:p>
        </w:tc>
      </w:tr>
    </w:tbl>
    <w:p>
      <w:r>
        <w:br w:type="page"/>
      </w:r>
    </w:p>
    <w:p>
      <w:pPr>
        <w:pStyle w:val="Heading1"/>
      </w:pPr>
      <w:r>
        <w:t>摘要</w:t>
      </w:r>
    </w:p>
    <w:p>
      <w:r>
        <w:t>本报告回顾 2026 年前三季度经营情况：营收稳步增长，新签合同额创同期新高，客户满意度持续改善。</w:t>
      </w:r>
    </w:p>
    <w:p>
      <w:pPr>
        <w:pStyle w:val="Heading1"/>
      </w:pPr>
      <w:r>
        <w:t>目录</w:t>
      </w:r>
    </w:p>
    <w:p>
      <w:fldSimple w:instr="TOC \o &quot;1-2&quot; \h \z \u">
        <w:r>
          <w:t>（在 Word 中按 F9 更新目录）</w:t>
        </w:r>
      </w:fldSimple>
    </w:p>
    <w:p>
      <w:r>
        <w:br w:type="page"/>
      </w:r>
    </w:p>
    <w:p>
      <w:pPr>
        <w:pStyle w:val="Heading1"/>
      </w:pPr>
      <w:r>
        <w:t>一、经营概览</w:t>
      </w:r>
    </w:p>
    <w:p>
      <w:r>
        <w:t>前三季度累计营收同比增长 38.2%，各业务线均衡贡献。</w:t>
      </w:r>
    </w:p>
    <w:p>
      <w:pPr>
        <w:pStyle w:val="Heading2"/>
      </w:pPr>
      <w:r>
        <w:t>1.1 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EEBF7"/>
          </w:tcPr>
          <w:p>
            <w:r>
              <w:rPr>
                <w:rFonts w:ascii="Calibri" w:hAnsi="Calibri" w:eastAsia="等线"/>
                <w:b/>
                <w:sz w:val="22"/>
              </w:rPr>
              <w:t>指标</w:t>
            </w:r>
          </w:p>
        </w:tc>
        <w:tc>
          <w:tcPr>
            <w:tcW w:type="dxa" w:w="2880"/>
            <w:shd w:val="clear" w:fill="DEEBF7"/>
          </w:tcPr>
          <w:p>
            <w:r>
              <w:rPr>
                <w:rFonts w:ascii="Calibri" w:hAnsi="Calibri" w:eastAsia="等线"/>
                <w:b/>
                <w:sz w:val="22"/>
              </w:rPr>
              <w:t>数值</w:t>
            </w:r>
          </w:p>
        </w:tc>
        <w:tc>
          <w:tcPr>
            <w:tcW w:type="dxa" w:w="2880"/>
            <w:shd w:val="clear" w:fill="DEEBF7"/>
          </w:tcPr>
          <w:p>
            <w:r>
              <w:rPr>
                <w:rFonts w:ascii="Calibri" w:hAnsi="Calibri" w:eastAsia="等线"/>
                <w:b/>
                <w:sz w:val="22"/>
              </w:rPr>
              <w:t>同比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营收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1.24 亿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+38.2%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新签合同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8,900 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+21.0%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NPS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91.5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等线"/>
                <w:b w:val="0"/>
                <w:sz w:val="22"/>
              </w:rPr>
              <w:t>+3.2</w:t>
            </w:r>
          </w:p>
        </w:tc>
      </w:tr>
    </w:tbl>
    <w:p>
      <w:pPr>
        <w:pStyle w:val="Heading1"/>
      </w:pPr>
      <w:r>
        <w:t>二、分业务分析</w:t>
      </w:r>
    </w:p>
    <w:p>
      <w:r>
        <w:t>平台业务、数据业务与生态业务三线并进，详见下章图表拆解。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