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医用呼吸机压力传感器技术要求（示例）</w:t>
      </w:r>
    </w:p>
    <w:p>
      <w:r>
        <w:t>第一章 项目背景与必要性</w:t>
      </w:r>
    </w:p>
    <w:p>
      <w:r>
        <w:t>当前国产医用呼吸机压力传感器依赖进口，供应链风险较高，需要制定统一的技术要求。</w:t>
      </w:r>
    </w:p>
    <w:p>
      <w:r>
        <w:t>本标准规定了压力传感器的测量范围为 0～10 kPa，准确度优于 1%，响应时间不超过 20 ms。</w:t>
      </w:r>
    </w:p>
    <w:p>
      <w:r>
        <w:t>第二章 主要技术内容</w:t>
      </w:r>
    </w:p>
    <w:p>
      <w:r>
        <w:t>标准制定过程包括立项、起草、征求意见和送审四个阶段，历时 18 个月。</w:t>
      </w:r>
    </w:p>
    <w:p>
      <w:r>
        <w:t>试验方法采用标准压力源比对，环境温度 23 ℃，相对湿度 50%。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