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60"/>
        <w:jc w:val="center"/>
      </w:pPr>
      <w:r>
        <w:rPr>
          <w:rFonts w:ascii="SimHei" w:hAnsi="SimHei" w:eastAsia="SimHei"/>
          <w:b/>
          <w:sz w:val="44"/>
        </w:rPr>
        <w:t>原子级制造术语标准草案智能合并系统</w:t>
      </w:r>
    </w:p>
    <w:p>
      <w:pPr>
        <w:spacing w:after="600"/>
        <w:jc w:val="center"/>
      </w:pPr>
      <w:r>
        <w:rPr>
          <w:rFonts w:ascii="SimHei" w:hAnsi="SimHei" w:eastAsia="SimHei"/>
          <w:b/>
          <w:sz w:val="36"/>
        </w:rPr>
        <w:t>可行性分析报告</w:t>
      </w:r>
    </w:p>
    <w:p>
      <w:pPr>
        <w:spacing w:after="80"/>
        <w:jc w:val="center"/>
      </w:pPr>
      <w:r>
        <w:rPr>
          <w:rFonts w:ascii="Times New Roman" w:hAnsi="Times New Roman" w:eastAsia="SimSun"/>
          <w:b w:val="0"/>
          <w:color w:val="808080"/>
          <w:sz w:val="20"/>
        </w:rPr>
        <w:t>文档版本：V2.0    编制日期：2026年3月</w:t>
      </w:r>
    </w:p>
    <w:p>
      <w:pPr>
        <w:spacing w:after="1000"/>
        <w:jc w:val="center"/>
      </w:pPr>
      <w:r>
        <w:rPr>
          <w:rFonts w:ascii="Times New Roman" w:hAnsi="Times New Roman" w:eastAsia="SimSun"/>
          <w:b w:val="0"/>
          <w:color w:val="808080"/>
          <w:sz w:val="20"/>
        </w:rPr>
        <w:t>密级：内部</w:t>
      </w:r>
    </w:p>
    <w:p>
      <w:pPr>
        <w:spacing w:before="400" w:after="200"/>
      </w:pPr>
      <w:r>
        <w:rPr>
          <w:rFonts w:ascii="SimHei" w:hAnsi="SimHei" w:eastAsia="SimHei"/>
          <w:b/>
          <w:sz w:val="32"/>
        </w:rPr>
        <w:t>一、项目背景与需求分析</w:t>
      </w:r>
    </w:p>
    <w:p>
      <w:pPr>
        <w:spacing w:before="280" w:after="120"/>
      </w:pPr>
      <w:r>
        <w:rPr>
          <w:rFonts w:ascii="SimHei" w:hAnsi="SimHei" w:eastAsia="SimHei"/>
          <w:b/>
          <w:sz w:val="28"/>
        </w:rPr>
        <w:t>1.1 项目背景</w:t>
      </w:r>
    </w:p>
    <w:p>
      <w:pPr>
        <w:spacing w:line="440" w:lineRule="exact" w:after="80"/>
        <w:ind w:firstLine="420"/>
      </w:pPr>
      <w:r>
        <w:rPr>
          <w:rFonts w:ascii="Times New Roman" w:hAnsi="Times New Roman" w:eastAsia="SimSun"/>
          <w:b w:val="0"/>
          <w:sz w:val="24"/>
        </w:rPr>
        <w:t>全国原子级制造标准化工作组（SWG）正在推进《原子级制造 术语》国家标准（GB/T XXXXX—XXXX）的编制工作。该标准由8位领域专家分别独立撰写术语草案，涵盖基础术语、加工装备、构筑装备、改性装备、测量装备、制造产品和应用服务等7大类、约60～80个术语条目。</w:t>
      </w:r>
    </w:p>
    <w:p>
      <w:pPr>
        <w:spacing w:line="440" w:lineRule="exact" w:after="80"/>
        <w:ind w:firstLine="420"/>
      </w:pPr>
      <w:r>
        <w:rPr>
          <w:rFonts w:ascii="Times New Roman" w:hAnsi="Times New Roman" w:eastAsia="SimSun"/>
          <w:b w:val="0"/>
          <w:sz w:val="24"/>
        </w:rPr>
        <w:t>各专家基于同一模板但从各自的研究视角出发，对同一术语给出了侧重点不同的定义。例如“原子级制造”这一核心术语，宋凤麒强调“可重复性、可操控性与可扩展性”及工业化生产要求，柴智敏强调“变革性制造范式”和“能量精准作用于原子”，张宏刚强调“去除、增加与迁移”三种基本操作。这些差异并非矛盾，而是视角互补，需要深度理解后有机整合。</w:t>
      </w:r>
    </w:p>
    <w:p>
      <w:pPr>
        <w:spacing w:before="280" w:after="120"/>
      </w:pPr>
      <w:r>
        <w:rPr>
          <w:rFonts w:ascii="SimHei" w:hAnsi="SimHei" w:eastAsia="SimHei"/>
          <w:b/>
          <w:sz w:val="28"/>
        </w:rPr>
        <w:t>1.2 核心需求</w:t>
      </w:r>
    </w:p>
    <w:p>
      <w:pPr>
        <w:spacing w:line="440" w:lineRule="exact" w:after="80"/>
        <w:ind w:firstLine="420"/>
      </w:pPr>
      <w:r>
        <w:rPr>
          <w:rFonts w:ascii="Times New Roman" w:hAnsi="Times New Roman" w:eastAsia="SimSun"/>
          <w:b w:val="0"/>
          <w:sz w:val="24"/>
        </w:rPr>
        <w:t>本项目需要开发一套智能辅助合并系统，满足以下四项核心要求：</w:t>
      </w:r>
    </w:p>
    <w:p>
      <w:pPr>
        <w:spacing w:line="440" w:lineRule="exact" w:after="80"/>
        <w:ind w:firstLine="420"/>
      </w:pPr>
      <w:r>
        <w:rPr>
          <w:rFonts w:ascii="SimHei" w:hAnsi="SimHei" w:eastAsia="SimHei"/>
          <w:b/>
          <w:sz w:val="24"/>
        </w:rPr>
        <w:t>（1）部署形态：</w:t>
      </w:r>
      <w:r>
        <w:rPr>
          <w:rFonts w:ascii="Times New Roman" w:hAnsi="Times New Roman" w:eastAsia="SimSun"/>
          <w:b w:val="0"/>
          <w:sz w:val="24"/>
        </w:rPr>
        <w:t>纯前端页面，部署在 Google AI Studio 环境中，通过调用 Gemini API Key 实现 AI 能力，无需后端服务器。</w:t>
      </w:r>
    </w:p>
    <w:p>
      <w:pPr>
        <w:spacing w:line="440" w:lineRule="exact" w:after="80"/>
        <w:ind w:firstLine="420"/>
      </w:pPr>
      <w:r>
        <w:rPr>
          <w:rFonts w:ascii="SimHei" w:hAnsi="SimHei" w:eastAsia="SimHei"/>
          <w:b/>
          <w:sz w:val="24"/>
        </w:rPr>
        <w:t>（2）导出能力：</w:t>
      </w:r>
      <w:r>
        <w:rPr>
          <w:rFonts w:ascii="Times New Roman" w:hAnsi="Times New Roman" w:eastAsia="SimSun"/>
          <w:b w:val="0"/>
          <w:sz w:val="24"/>
        </w:rPr>
        <w:t>合并结果导出为符合 GB/T 1.1—2020 国家标准模板要求的 .docx 文档。</w:t>
      </w:r>
    </w:p>
    <w:p>
      <w:pPr>
        <w:spacing w:line="440" w:lineRule="exact" w:after="80"/>
        <w:ind w:firstLine="420"/>
      </w:pPr>
      <w:r>
        <w:rPr>
          <w:rFonts w:ascii="SimHei" w:hAnsi="SimHei" w:eastAsia="SimHei"/>
          <w:b/>
          <w:sz w:val="24"/>
        </w:rPr>
        <w:t>（3）来源溯源：</w:t>
      </w:r>
      <w:r>
        <w:rPr>
          <w:rFonts w:ascii="Times New Roman" w:hAnsi="Times New Roman" w:eastAsia="SimSun"/>
          <w:b w:val="0"/>
          <w:sz w:val="24"/>
        </w:rPr>
        <w:t>合并稿中以醒目的视觉样式（颜色底色高亮）标注每段文字的来源专家，实现短语级的精确溯源。</w:t>
      </w:r>
    </w:p>
    <w:p>
      <w:pPr>
        <w:spacing w:line="440" w:lineRule="exact" w:after="80"/>
        <w:ind w:firstLine="420"/>
      </w:pPr>
      <w:r>
        <w:rPr>
          <w:rFonts w:ascii="SimHei" w:hAnsi="SimHei" w:eastAsia="SimHei"/>
          <w:b/>
          <w:sz w:val="24"/>
        </w:rPr>
        <w:t>（4）主稿机制：</w:t>
      </w:r>
      <w:r>
        <w:rPr>
          <w:rFonts w:ascii="Times New Roman" w:hAnsi="Times New Roman" w:eastAsia="SimSun"/>
          <w:b w:val="0"/>
          <w:sz w:val="24"/>
        </w:rPr>
        <w:t>支持指定一位或多位专家的文档作为合并稿的主要来源。本项目中以宋凤麒的文档为主。</w:t>
      </w:r>
    </w:p>
    <w:p>
      <w:pPr>
        <w:spacing w:before="280" w:after="120"/>
      </w:pPr>
      <w:r>
        <w:rPr>
          <w:rFonts w:ascii="SimHei" w:hAnsi="SimHei" w:eastAsia="SimHei"/>
          <w:b/>
          <w:sz w:val="28"/>
        </w:rPr>
        <w:t>1.3 “合并”的两层语义</w:t>
      </w:r>
    </w:p>
    <w:p>
      <w:pPr>
        <w:spacing w:line="440" w:lineRule="exact" w:after="80"/>
        <w:ind w:firstLine="420"/>
      </w:pPr>
      <w:r>
        <w:rPr>
          <w:rFonts w:ascii="Times New Roman" w:hAnsi="Times New Roman" w:eastAsia="SimSun"/>
          <w:b w:val="0"/>
          <w:sz w:val="24"/>
        </w:rPr>
        <w:t>本项目对“合并”的理解超越简单的文本拼接或集合运算。简单交集会让高价值的专家见解丢失、只剩废话；简单并集会变成毫无逻辑的语录罗列。真正的合并具有两层含义：</w:t>
      </w:r>
    </w:p>
    <w:p>
      <w:pPr>
        <w:spacing w:before="200" w:after="80"/>
      </w:pPr>
      <w:r>
        <w:rPr>
          <w:rFonts w:ascii="SimHei" w:hAnsi="SimHei" w:eastAsia="SimHei"/>
          <w:b/>
          <w:sz w:val="24"/>
        </w:rPr>
        <w:t>1.3.1 第一层：微观语义的解构与有机重塑</w:t>
      </w:r>
    </w:p>
    <w:p>
      <w:pPr>
        <w:spacing w:line="440" w:lineRule="exact" w:after="80"/>
        <w:ind w:firstLine="420"/>
      </w:pPr>
      <w:r>
        <w:rPr>
          <w:rFonts w:ascii="Times New Roman" w:hAnsi="Times New Roman" w:eastAsia="SimSun"/>
          <w:b w:val="0"/>
          <w:sz w:val="24"/>
        </w:rPr>
        <w:t>第一层含义的“有机整合”，本质上是大模型在自然语言处理上的“多源文本语义解构与特征重组”。这一过程必须分四个步骤完成：</w:t>
      </w:r>
    </w:p>
    <w:p>
      <w:pPr>
        <w:spacing w:line="440" w:lineRule="exact" w:after="80"/>
        <w:ind w:firstLine="420"/>
      </w:pPr>
      <w:r>
        <w:rPr>
          <w:rFonts w:ascii="SimHei" w:hAnsi="SimHei" w:eastAsia="SimHei"/>
          <w:b/>
          <w:sz w:val="24"/>
        </w:rPr>
        <w:t>步骤1：概念级对齐与消歧。</w:t>
      </w:r>
      <w:r>
        <w:rPr>
          <w:rFonts w:ascii="Times New Roman" w:hAnsi="Times New Roman" w:eastAsia="SimSun"/>
          <w:b w:val="0"/>
          <w:sz w:val="24"/>
        </w:rPr>
        <w:t>系统不能只做字面比对，必须在深刻理解语义后判定：草案A的“原子层刻蚀（ALE）”、草案B的“原子层（级）刻蚀”、草案C的“原子级刻蚀加工”描述的是同一实体，将它们聚拢在同一张手术台上。</w:t>
      </w:r>
    </w:p>
    <w:p>
      <w:pPr>
        <w:spacing w:line="440" w:lineRule="exact" w:after="80"/>
        <w:ind w:firstLine="420"/>
      </w:pPr>
      <w:r>
        <w:rPr>
          <w:rFonts w:ascii="SimHei" w:hAnsi="SimHei" w:eastAsia="SimHei"/>
          <w:b/>
          <w:sz w:val="24"/>
        </w:rPr>
        <w:t>步骤2：多维特征剥离（种差拆解）。</w:t>
      </w:r>
      <w:r>
        <w:rPr>
          <w:rFonts w:ascii="Times New Roman" w:hAnsi="Times New Roman" w:eastAsia="SimSun"/>
          <w:b w:val="0"/>
          <w:sz w:val="24"/>
        </w:rPr>
        <w:t>模型需要把各专家定义拆解为不同的信息维度（种差）。以“单原子”为例：维度A（物理状态）—不与其他原子形成稳定化学键；维度B（化学本质）—保持化学特性的最小基本单元；维度C（空间尺度）—直径约三分之一纳米；维度D（领域定位）—原子制造中可精准操控的终极基础材料。</w:t>
      </w:r>
    </w:p>
    <w:p>
      <w:pPr>
        <w:spacing w:line="440" w:lineRule="exact" w:after="80"/>
        <w:ind w:firstLine="420"/>
      </w:pPr>
      <w:r>
        <w:rPr>
          <w:rFonts w:ascii="SimHei" w:hAnsi="SimHei" w:eastAsia="SimHei"/>
          <w:b/>
          <w:sz w:val="24"/>
        </w:rPr>
        <w:t>步骤3：基于主文档的骨肉嫁接。</w:t>
      </w:r>
      <w:r>
        <w:rPr>
          <w:rFonts w:ascii="Times New Roman" w:hAnsi="Times New Roman" w:eastAsia="SimSun"/>
          <w:b w:val="0"/>
          <w:sz w:val="24"/>
        </w:rPr>
        <w:t>主文档决定定义的主干骨架和行文句式，其他文档的独特维度作为增量信息以从句、定语、条目注释等形式被无缝嫁接。合并结果读起来像主稿作者本人在听取了其他意见后修订的版本。</w:t>
      </w:r>
    </w:p>
    <w:p>
      <w:pPr>
        <w:spacing w:line="440" w:lineRule="exact" w:after="80"/>
        <w:ind w:firstLine="420"/>
      </w:pPr>
      <w:r>
        <w:rPr>
          <w:rFonts w:ascii="SimHei" w:hAnsi="SimHei" w:eastAsia="SimHei"/>
          <w:b/>
          <w:sz w:val="24"/>
        </w:rPr>
        <w:t>步骤4：碎片化的隐性标记。</w:t>
      </w:r>
      <w:r>
        <w:rPr>
          <w:rFonts w:ascii="Times New Roman" w:hAnsi="Times New Roman" w:eastAsia="SimSun"/>
          <w:b w:val="0"/>
          <w:sz w:val="24"/>
        </w:rPr>
        <w:t>AI输出的不是纯文本，而是带数据标签的富文本节点。每个语义片段绑定来源，粒度达到短语级—同一句话内可包含2～3种来源标记。这是前端渲染和 Docx 导出的基石。</w:t>
      </w:r>
    </w:p>
    <w:p>
      <w:pPr>
        <w:spacing w:before="200" w:after="80"/>
      </w:pPr>
      <w:r>
        <w:rPr>
          <w:rFonts w:ascii="SimHei" w:hAnsi="SimHei" w:eastAsia="SimHei"/>
          <w:b/>
          <w:sz w:val="24"/>
        </w:rPr>
        <w:t>1.3.2 第二层：宏观标准架构的求同存异与知识挂载</w:t>
      </w:r>
    </w:p>
    <w:p>
      <w:pPr>
        <w:spacing w:line="440" w:lineRule="exact" w:after="80"/>
        <w:ind w:firstLine="420"/>
      </w:pPr>
      <w:r>
        <w:rPr>
          <w:rFonts w:ascii="Times New Roman" w:hAnsi="Times New Roman" w:eastAsia="SimSun"/>
          <w:b w:val="0"/>
          <w:sz w:val="24"/>
        </w:rPr>
        <w:t>第二层解决“整篇国家标准的体系该怎么建构”。主文档搭建基本分类框架，当遇到副文档独有的词条（如张宏刚的“原子级形位公差”、关奉伟的“冷原子干涉技术”）时，系统通过语义理解将它们智能挂载到主文档最合适的章节之下，使标准体系丰满而不乱。</w:t>
      </w:r>
    </w:p>
    <w:p>
      <w:pPr>
        <w:spacing w:before="400" w:after="200"/>
      </w:pPr>
      <w:r>
        <w:rPr>
          <w:rFonts w:ascii="SimHei" w:hAnsi="SimHei" w:eastAsia="SimHei"/>
          <w:b/>
          <w:sz w:val="32"/>
        </w:rPr>
        <w:t>二、技术可行性分析</w:t>
      </w:r>
    </w:p>
    <w:p>
      <w:pPr>
        <w:spacing w:before="280" w:after="120"/>
      </w:pPr>
      <w:r>
        <w:rPr>
          <w:rFonts w:ascii="SimHei" w:hAnsi="SimHei" w:eastAsia="SimHei"/>
          <w:b/>
          <w:sz w:val="28"/>
        </w:rPr>
        <w:t>2.1 文档解析可行性</w:t>
      </w:r>
    </w:p>
    <w:p>
      <w:pPr>
        <w:spacing w:line="440" w:lineRule="exact" w:after="80"/>
        <w:ind w:firstLine="420"/>
      </w:pPr>
      <w:r>
        <w:rPr>
          <w:rFonts w:ascii="Times New Roman" w:hAnsi="Times New Roman" w:eastAsia="SimSun"/>
          <w:b w:val="0"/>
          <w:sz w:val="24"/>
        </w:rPr>
        <w:t>8份草案均为标准 .docx 格式，结构高度规范化。浏览器端可用 mammoth.js 提取为 HTML 后结构化。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4"/>
        <w:gridCol w:w="1734"/>
        <w:gridCol w:w="1734"/>
        <w:gridCol w:w="1734"/>
        <w:gridCol w:w="1734"/>
      </w:tblGrid>
      <w:tr>
        <w:tc>
          <w:tcPr>
            <w:tcW w:type="dxa" w:w="1814"/>
          </w:tcPr>
          <w:p>
            <w:r/>
            <w:r>
              <w:rPr>
                <w:rFonts w:ascii="SimHei" w:hAnsi="SimHei" w:eastAsia="SimHei"/>
                <w:b/>
                <w:sz w:val="20"/>
              </w:rPr>
              <w:t>专家</w:t>
            </w:r>
          </w:p>
        </w:tc>
        <w:tc>
          <w:tcPr>
            <w:tcW w:type="dxa" w:w="1134"/>
          </w:tcPr>
          <w:p>
            <w:r/>
            <w:r>
              <w:rPr>
                <w:rFonts w:ascii="SimHei" w:hAnsi="SimHei" w:eastAsia="SimHei"/>
                <w:b/>
                <w:sz w:val="20"/>
              </w:rPr>
              <w:t>术语总条目</w:t>
            </w:r>
          </w:p>
        </w:tc>
        <w:tc>
          <w:tcPr>
            <w:tcW w:type="dxa" w:w="1134"/>
          </w:tcPr>
          <w:p>
            <w:r/>
            <w:r>
              <w:rPr>
                <w:rFonts w:ascii="SimHei" w:hAnsi="SimHei" w:eastAsia="SimHei"/>
                <w:b/>
                <w:sz w:val="20"/>
              </w:rPr>
              <w:t>有定义</w:t>
            </w:r>
          </w:p>
        </w:tc>
        <w:tc>
          <w:tcPr>
            <w:tcW w:type="dxa" w:w="1134"/>
          </w:tcPr>
          <w:p>
            <w:r/>
            <w:r>
              <w:rPr>
                <w:rFonts w:ascii="SimHei" w:hAnsi="SimHei" w:eastAsia="SimHei"/>
                <w:b/>
                <w:sz w:val="20"/>
              </w:rPr>
              <w:t>仅标题</w:t>
            </w:r>
          </w:p>
        </w:tc>
        <w:tc>
          <w:tcPr>
            <w:tcW w:type="dxa" w:w="1134"/>
          </w:tcPr>
          <w:p>
            <w:r/>
            <w:r>
              <w:rPr>
                <w:rFonts w:ascii="SimHei" w:hAnsi="SimHei" w:eastAsia="SimHei"/>
                <w:b/>
                <w:sz w:val="20"/>
              </w:rPr>
              <w:t>独有新增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宋凤麒（主稿）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48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48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8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关奉伟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52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52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12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王可心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45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45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9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张宏刚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42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42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11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吕鹏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38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15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23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2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柴智敏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36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28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8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1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陈磊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35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22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13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曹坤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34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31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2</w:t>
            </w:r>
          </w:p>
        </w:tc>
      </w:tr>
    </w:tbl>
    <w:p>
      <w:pPr>
        <w:spacing w:before="280" w:after="120"/>
      </w:pPr>
      <w:r>
        <w:rPr>
          <w:rFonts w:ascii="SimHei" w:hAnsi="SimHei" w:eastAsia="SimHei"/>
          <w:b/>
          <w:sz w:val="28"/>
        </w:rPr>
        <w:t>2.2 概念对齐可行性</w:t>
      </w:r>
    </w:p>
    <w:p>
      <w:pPr>
        <w:spacing w:line="440" w:lineRule="exact" w:after="80"/>
        <w:ind w:firstLine="420"/>
      </w:pPr>
      <w:r>
        <w:rPr>
          <w:rFonts w:ascii="Times New Roman" w:hAnsi="Times New Roman" w:eastAsia="SimSun"/>
          <w:b w:val="0"/>
          <w:sz w:val="24"/>
        </w:rPr>
        <w:t>不同草案间术语名称变体普遍（如“原子层刻蚀”vs“原子级刻蚀加工”），按编号直接对齐不可靠。可行方案：将全部术语清单传入 Gemini 做语义聚类（1次API调用），输出概念对齐映射表和孤儿词条挂载建议。</w:t>
      </w:r>
    </w:p>
    <w:p>
      <w:pPr>
        <w:spacing w:before="280" w:after="120"/>
      </w:pPr>
      <w:r>
        <w:rPr>
          <w:rFonts w:ascii="SimHei" w:hAnsi="SimHei" w:eastAsia="SimHei"/>
          <w:b/>
          <w:sz w:val="28"/>
        </w:rPr>
        <w:t>2.3 AI 合并能力可行性</w:t>
      </w:r>
    </w:p>
    <w:p>
      <w:pPr>
        <w:spacing w:line="440" w:lineRule="exact" w:after="80"/>
        <w:ind w:firstLine="420"/>
      </w:pPr>
      <w:r>
        <w:rPr>
          <w:rFonts w:ascii="Times New Roman" w:hAnsi="Times New Roman" w:eastAsia="SimSun"/>
          <w:b w:val="0"/>
          <w:sz w:val="24"/>
        </w:rPr>
        <w:t>Gemini 2.5 系列具备：（1）属+种差结构化拆解能力；（2）骨架嫁接式融合能力；（3）短语级来源标记能力；（4）严禁外部搜索的约束遵从能力。风险通过“人机协同”审阅机制规避。维度拆解中间结果在审阅界面展示，让专家判断 AI 分析质量。</w:t>
      </w:r>
    </w:p>
    <w:p>
      <w:pPr>
        <w:spacing w:before="280" w:after="120"/>
      </w:pPr>
      <w:r>
        <w:rPr>
          <w:rFonts w:ascii="SimHei" w:hAnsi="SimHei" w:eastAsia="SimHei"/>
          <w:b/>
          <w:sz w:val="28"/>
        </w:rPr>
        <w:t>2.4 前端部署与导出可行性</w:t>
      </w:r>
    </w:p>
    <w:p>
      <w:pPr>
        <w:spacing w:line="440" w:lineRule="exact" w:after="80"/>
        <w:ind w:firstLine="420"/>
      </w:pPr>
      <w:r>
        <w:rPr>
          <w:rFonts w:ascii="Times New Roman" w:hAnsi="Times New Roman" w:eastAsia="SimSun"/>
          <w:b w:val="0"/>
          <w:sz w:val="24"/>
        </w:rPr>
        <w:t>纯前端架构匹配 AI Studio 环境。docx.js 可完整复刻 GB/T 模板，来源标注通过短语级字符底纹实现。</w:t>
      </w:r>
    </w:p>
    <w:p>
      <w:pPr>
        <w:spacing w:before="400" w:after="200"/>
      </w:pPr>
      <w:r>
        <w:rPr>
          <w:rFonts w:ascii="SimHei" w:hAnsi="SimHei" w:eastAsia="SimHei"/>
          <w:b/>
          <w:sz w:val="32"/>
        </w:rPr>
        <w:t>三、风险评估与应对策略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4"/>
        <w:gridCol w:w="1734"/>
        <w:gridCol w:w="1734"/>
        <w:gridCol w:w="1734"/>
        <w:gridCol w:w="1734"/>
      </w:tblGrid>
      <w:tr>
        <w:tc>
          <w:tcPr>
            <w:tcW w:type="dxa" w:w="454"/>
          </w:tcPr>
          <w:p>
            <w:r/>
            <w:r>
              <w:rPr>
                <w:rFonts w:ascii="SimHei" w:hAnsi="SimHei" w:eastAsia="SimHei"/>
                <w:b/>
                <w:sz w:val="20"/>
              </w:rPr>
              <w:t>编号</w:t>
            </w:r>
          </w:p>
        </w:tc>
        <w:tc>
          <w:tcPr>
            <w:tcW w:type="dxa" w:w="1587"/>
          </w:tcPr>
          <w:p>
            <w:r/>
            <w:r>
              <w:rPr>
                <w:rFonts w:ascii="SimHei" w:hAnsi="SimHei" w:eastAsia="SimHei"/>
                <w:b/>
                <w:sz w:val="20"/>
              </w:rPr>
              <w:t>风险</w:t>
            </w:r>
          </w:p>
        </w:tc>
        <w:tc>
          <w:tcPr>
            <w:tcW w:type="dxa" w:w="1701"/>
          </w:tcPr>
          <w:p>
            <w:r/>
            <w:r>
              <w:rPr>
                <w:rFonts w:ascii="SimHei" w:hAnsi="SimHei" w:eastAsia="SimHei"/>
                <w:b/>
                <w:sz w:val="20"/>
              </w:rPr>
              <w:t>影响</w:t>
            </w:r>
          </w:p>
        </w:tc>
        <w:tc>
          <w:tcPr>
            <w:tcW w:type="dxa" w:w="454"/>
          </w:tcPr>
          <w:p>
            <w:r/>
            <w:r>
              <w:rPr>
                <w:rFonts w:ascii="SimHei" w:hAnsi="SimHei" w:eastAsia="SimHei"/>
                <w:b/>
                <w:sz w:val="20"/>
              </w:rPr>
              <w:t>等级</w:t>
            </w:r>
          </w:p>
        </w:tc>
        <w:tc>
          <w:tcPr>
            <w:tcW w:type="dxa" w:w="2608"/>
          </w:tcPr>
          <w:p>
            <w:r/>
            <w:r>
              <w:rPr>
                <w:rFonts w:ascii="SimHei" w:hAnsi="SimHei" w:eastAsia="SimHei"/>
                <w:b/>
                <w:sz w:val="20"/>
              </w:rPr>
              <w:t>应对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R1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概念对齐错误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同一概念被拆分或不同概念被聚合</w:t>
            </w:r>
          </w:p>
        </w:tc>
        <w:tc>
          <w:tcPr>
            <w:tcW w:type="dxa" w:w="45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高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Phase 0 结果必须经人工确认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R2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维度拆解遗漏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丢失某专家独特贡献</w:t>
            </w:r>
          </w:p>
        </w:tc>
        <w:tc>
          <w:tcPr>
            <w:tcW w:type="dxa" w:w="45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中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审阅界面展示维度拆解过程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R3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骨架嫁接质量不稳定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合并稿像拼贴画</w:t>
            </w:r>
          </w:p>
        </w:tc>
        <w:tc>
          <w:tcPr>
            <w:tcW w:type="dxa" w:w="45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中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Prompt显式要求从句/定语嫁接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R4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API调用频率限制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合并过程被中断</w:t>
            </w:r>
          </w:p>
        </w:tc>
        <w:tc>
          <w:tcPr>
            <w:tcW w:type="dxa" w:w="45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低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使用Flash模型，增加间隔和重试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R5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API Key暴露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密钥泄露</w:t>
            </w:r>
          </w:p>
        </w:tc>
        <w:tc>
          <w:tcPr>
            <w:tcW w:type="dxa" w:w="45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中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内部工具，不持久化存储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R6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孤儿词条挂载位置不当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新术语放错章节</w:t>
            </w:r>
          </w:p>
        </w:tc>
        <w:tc>
          <w:tcPr>
            <w:tcW w:type="dxa" w:w="45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低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AI建议+人工确认双保险</w:t>
            </w:r>
          </w:p>
        </w:tc>
      </w:tr>
    </w:tbl>
    <w:p>
      <w:pPr>
        <w:spacing w:before="400" w:after="200"/>
      </w:pPr>
      <w:r>
        <w:rPr>
          <w:rFonts w:ascii="SimHei" w:hAnsi="SimHei" w:eastAsia="SimHei"/>
          <w:b/>
          <w:sz w:val="32"/>
        </w:rPr>
        <w:t>四、可行性结论</w:t>
      </w:r>
    </w:p>
    <w:p>
      <w:pPr>
        <w:spacing w:line="440" w:lineRule="exact" w:after="80"/>
        <w:ind w:firstLine="420"/>
      </w:pPr>
      <w:r>
        <w:rPr>
          <w:rFonts w:ascii="Times New Roman" w:hAnsi="Times New Roman" w:eastAsia="SimSun"/>
          <w:b w:val="0"/>
          <w:sz w:val="24"/>
        </w:rPr>
        <w:t>项目技术完全可行。V2关键深化：（1）合并逻辑升级为四步骤框架（对齐→拆解→嫁接→标记）；（2）新增Phase 0概念聚类阶段；（3）来源标注粒度从句子级提升到短语级；（4）审阅界面新增维度拆解视图。建议立即启动开发。</w:t>
      </w:r>
    </w:p>
    <w:p>
      <w:pPr>
        <w:spacing w:before="400" w:after="200"/>
      </w:pPr>
      <w:r>
        <w:rPr>
          <w:rFonts w:ascii="SimHei" w:hAnsi="SimHei" w:eastAsia="SimHei"/>
          <w:b/>
          <w:sz w:val="32"/>
        </w:rPr>
        <w:t>五、通用化潜力评估</w:t>
      </w:r>
    </w:p>
    <w:p>
      <w:pPr>
        <w:spacing w:line="440" w:lineRule="exact" w:after="80"/>
        <w:ind w:firstLine="420"/>
      </w:pPr>
      <w:r>
        <w:rPr>
          <w:rFonts w:ascii="Times New Roman" w:hAnsi="Times New Roman" w:eastAsia="SimSun"/>
          <w:b w:val="0"/>
          <w:sz w:val="24"/>
        </w:rPr>
        <w:t>核心架构具有向其他标准类型推广的潜力。按结构复杂度评估：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7"/>
        <w:gridCol w:w="2167"/>
        <w:gridCol w:w="2167"/>
        <w:gridCol w:w="2167"/>
      </w:tblGrid>
      <w:tr>
        <w:tc>
          <w:tcPr>
            <w:tcW w:type="dxa" w:w="1417"/>
          </w:tcPr>
          <w:p>
            <w:r/>
            <w:r>
              <w:rPr>
                <w:rFonts w:ascii="SimHei" w:hAnsi="SimHei" w:eastAsia="SimHei"/>
                <w:b/>
                <w:sz w:val="20"/>
              </w:rPr>
              <w:t>标准类型</w:t>
            </w:r>
          </w:p>
        </w:tc>
        <w:tc>
          <w:tcPr>
            <w:tcW w:type="dxa" w:w="1701"/>
          </w:tcPr>
          <w:p>
            <w:r/>
            <w:r>
              <w:rPr>
                <w:rFonts w:ascii="SimHei" w:hAnsi="SimHei" w:eastAsia="SimHei"/>
                <w:b/>
                <w:sz w:val="20"/>
              </w:rPr>
              <w:t>结构特征</w:t>
            </w:r>
          </w:p>
        </w:tc>
        <w:tc>
          <w:tcPr>
            <w:tcW w:type="dxa" w:w="850"/>
          </w:tcPr>
          <w:p>
            <w:r/>
            <w:r>
              <w:rPr>
                <w:rFonts w:ascii="SimHei" w:hAnsi="SimHei" w:eastAsia="SimHei"/>
                <w:b/>
                <w:sz w:val="20"/>
              </w:rPr>
              <w:t>复用度</w:t>
            </w:r>
          </w:p>
        </w:tc>
        <w:tc>
          <w:tcPr>
            <w:tcW w:type="dxa" w:w="2835"/>
          </w:tcPr>
          <w:p>
            <w:r/>
            <w:r>
              <w:rPr>
                <w:rFonts w:ascii="SimHei" w:hAnsi="SimHei" w:eastAsia="SimHei"/>
                <w:b/>
                <w:sz w:val="20"/>
              </w:rPr>
              <w:t>适配策略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术语/分类标准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原子性条目，无逻辑依赖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90%+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当前架构直接复用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试验方法标准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步骤序列，交叉引用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约60%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新增步骤合并+时序校验插件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产品标准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数值指标，要求表格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约40%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新增冲突检测+表格解析引擎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管理标准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过程网络，条件逻辑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约15%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核心逻辑需重建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安全标准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法律效力，零容错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不建议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仅做格式差异标记</w:t>
            </w:r>
          </w:p>
        </w:tc>
      </w:tr>
    </w:tbl>
    <w:p>
      <w:pPr>
        <w:spacing w:line="440" w:lineRule="exact" w:after="80"/>
        <w:ind w:firstLine="420"/>
      </w:pPr>
      <w:r>
        <w:rPr>
          <w:rFonts w:ascii="Times New Roman" w:hAnsi="Times New Roman" w:eastAsia="SimSun"/>
          <w:b w:val="0"/>
          <w:sz w:val="24"/>
        </w:rPr>
        <w:t>建议路径：单点突破→自然泛化，通过插件化架构实现按需扩展。</w:t>
      </w:r>
    </w:p>
    <w:sectPr w:rsidR="00FC693F" w:rsidRPr="0006063C" w:rsidSect="00034616">
      <w:pgSz w:w="11906" w:h="16838"/>
      <w:pgMar w:top="1440" w:right="1440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