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160"/>
        <w:jc w:val="center"/>
      </w:pPr>
      <w:r>
        <w:rPr>
          <w:rFonts w:ascii="SimHei" w:hAnsi="SimHei" w:eastAsia="SimHei"/>
          <w:b/>
          <w:sz w:val="44"/>
        </w:rPr>
        <w:t>原子级制造术语标准草案智能合并系统</w:t>
      </w:r>
    </w:p>
    <w:p>
      <w:pPr>
        <w:spacing w:after="600"/>
        <w:jc w:val="center"/>
      </w:pPr>
      <w:r>
        <w:rPr>
          <w:rFonts w:ascii="SimHei" w:hAnsi="SimHei" w:eastAsia="SimHei"/>
          <w:b/>
          <w:sz w:val="36"/>
        </w:rPr>
        <w:t>实施方案</w:t>
      </w:r>
    </w:p>
    <w:p>
      <w:pPr>
        <w:spacing w:after="80"/>
        <w:jc w:val="center"/>
      </w:pPr>
      <w:r>
        <w:rPr>
          <w:rFonts w:ascii="Times New Roman" w:hAnsi="Times New Roman" w:eastAsia="SimSun"/>
          <w:b w:val="0"/>
          <w:color w:val="808080"/>
          <w:sz w:val="20"/>
        </w:rPr>
        <w:t>文档版本：V2.0    编制日期：2026年3月</w:t>
      </w:r>
    </w:p>
    <w:p>
      <w:pPr>
        <w:spacing w:after="1000"/>
        <w:jc w:val="center"/>
      </w:pPr>
      <w:r>
        <w:rPr>
          <w:rFonts w:ascii="Times New Roman" w:hAnsi="Times New Roman" w:eastAsia="SimSun"/>
          <w:b w:val="0"/>
          <w:color w:val="808080"/>
          <w:sz w:val="20"/>
        </w:rPr>
        <w:t>密级：内部</w:t>
      </w:r>
    </w:p>
    <w:p>
      <w:pPr>
        <w:spacing w:before="400" w:after="200"/>
      </w:pPr>
      <w:r>
        <w:rPr>
          <w:rFonts w:ascii="SimHei" w:hAnsi="SimHei" w:eastAsia="SimHei"/>
          <w:b/>
          <w:sz w:val="32"/>
        </w:rPr>
        <w:t>一、总体设计思路</w:t>
      </w:r>
    </w:p>
    <w:p>
      <w:pPr>
        <w:spacing w:before="280" w:after="120"/>
      </w:pPr>
      <w:r>
        <w:rPr>
          <w:rFonts w:ascii="SimHei" w:hAnsi="SimHei" w:eastAsia="SimHei"/>
          <w:b/>
          <w:sz w:val="28"/>
        </w:rPr>
        <w:t>1.1 产品定位</w:t>
      </w:r>
    </w:p>
    <w:p>
      <w:pPr>
        <w:spacing w:line="440" w:lineRule="exact" w:after="80"/>
        <w:ind w:firstLine="420"/>
      </w:pPr>
      <w:r>
        <w:rPr>
          <w:rFonts w:ascii="Times New Roman" w:hAnsi="Times New Roman" w:eastAsia="SimSun"/>
          <w:b w:val="0"/>
          <w:sz w:val="24"/>
        </w:rPr>
        <w:t>本系统定位为“人机协同的术语合并决策辅助工具”。AI 负责文档解析、概念对齐、维度拆解、候选合并稿生成；人类专家通过逐条卡片审阅做权威决策。</w:t>
      </w:r>
    </w:p>
    <w:p>
      <w:pPr>
        <w:spacing w:before="280" w:after="120"/>
      </w:pPr>
      <w:r>
        <w:rPr>
          <w:rFonts w:ascii="SimHei" w:hAnsi="SimHei" w:eastAsia="SimHei"/>
          <w:b/>
          <w:sz w:val="28"/>
        </w:rPr>
        <w:t>1.2 五阶段工作流（V2新增阶段零）</w:t>
      </w:r>
    </w:p>
    <w:p>
      <w:pPr>
        <w:spacing w:line="440" w:lineRule="exact" w:after="80"/>
        <w:ind w:firstLine="420"/>
      </w:pPr>
      <w:r>
        <w:rPr>
          <w:rFonts w:ascii="SimHei" w:hAnsi="SimHei" w:eastAsia="SimHei"/>
          <w:b/>
          <w:sz w:val="24"/>
        </w:rPr>
        <w:t>阶段零（新增）——概念对齐与架构映射：</w:t>
      </w:r>
      <w:r>
        <w:rPr>
          <w:rFonts w:ascii="Times New Roman" w:hAnsi="Times New Roman" w:eastAsia="SimSun"/>
          <w:b w:val="0"/>
          <w:sz w:val="24"/>
        </w:rPr>
        <w:t>提取全部术语清单，Gemini语义聚类，输出对齐映射表+孤儿词条挂载建议。需人工确认。</w:t>
      </w:r>
    </w:p>
    <w:p>
      <w:pPr>
        <w:spacing w:line="440" w:lineRule="exact" w:after="80"/>
        <w:ind w:firstLine="420"/>
      </w:pPr>
      <w:r>
        <w:rPr>
          <w:rFonts w:ascii="SimHei" w:hAnsi="SimHei" w:eastAsia="SimHei"/>
          <w:b/>
          <w:sz w:val="24"/>
        </w:rPr>
        <w:t>阶段一——文档导入与解析：</w:t>
      </w:r>
      <w:r>
        <w:rPr>
          <w:rFonts w:ascii="Times New Roman" w:hAnsi="Times New Roman" w:eastAsia="SimSun"/>
          <w:b w:val="0"/>
          <w:sz w:val="24"/>
        </w:rPr>
        <w:t>上传 .docx，浏览器端解析为JSON，选择主稿作者。</w:t>
      </w:r>
    </w:p>
    <w:p>
      <w:pPr>
        <w:spacing w:line="440" w:lineRule="exact" w:after="80"/>
        <w:ind w:firstLine="420"/>
      </w:pPr>
      <w:r>
        <w:rPr>
          <w:rFonts w:ascii="SimHei" w:hAnsi="SimHei" w:eastAsia="SimHei"/>
          <w:b/>
          <w:sz w:val="24"/>
        </w:rPr>
        <w:t>阶段二——AI 逐条合并（四步骤框架）：</w:t>
      </w:r>
      <w:r>
        <w:rPr>
          <w:rFonts w:ascii="Times New Roman" w:hAnsi="Times New Roman" w:eastAsia="SimSun"/>
          <w:b w:val="0"/>
          <w:sz w:val="24"/>
        </w:rPr>
        <w:t>逐概念簇调用 Gemini：维度拆解（属+种差）→骨架嫁接→来源标记。</w:t>
      </w:r>
    </w:p>
    <w:p>
      <w:pPr>
        <w:spacing w:line="440" w:lineRule="exact" w:after="80"/>
        <w:ind w:firstLine="420"/>
      </w:pPr>
      <w:r>
        <w:rPr>
          <w:rFonts w:ascii="SimHei" w:hAnsi="SimHei" w:eastAsia="SimHei"/>
          <w:b/>
          <w:sz w:val="24"/>
        </w:rPr>
        <w:t>阶段三——交互式卡片审阅：</w:t>
      </w:r>
      <w:r>
        <w:rPr>
          <w:rFonts w:ascii="Times New Roman" w:hAnsi="Times New Roman" w:eastAsia="SimSun"/>
          <w:b w:val="0"/>
          <w:sz w:val="24"/>
        </w:rPr>
        <w:t>卡片展示合并稿（短语级多色标注）+ 维度拆解表 + 原文对比。四按钮决策。</w:t>
      </w:r>
    </w:p>
    <w:p>
      <w:pPr>
        <w:spacing w:line="440" w:lineRule="exact" w:after="80"/>
        <w:ind w:firstLine="420"/>
      </w:pPr>
      <w:r>
        <w:rPr>
          <w:rFonts w:ascii="SimHei" w:hAnsi="SimHei" w:eastAsia="SimHei"/>
          <w:b/>
          <w:sz w:val="24"/>
        </w:rPr>
        <w:t>阶段四——导出：</w:t>
      </w:r>
      <w:r>
        <w:rPr>
          <w:rFonts w:ascii="Times New Roman" w:hAnsi="Times New Roman" w:eastAsia="SimSun"/>
          <w:b w:val="0"/>
          <w:sz w:val="24"/>
        </w:rPr>
        <w:t>一键导出 GB/T 模板 .docx，短语级来源高亮。</w:t>
      </w:r>
    </w:p>
    <w:p>
      <w:pPr>
        <w:spacing w:before="400" w:after="200"/>
      </w:pPr>
      <w:r>
        <w:rPr>
          <w:rFonts w:ascii="SimHei" w:hAnsi="SimHei" w:eastAsia="SimHei"/>
          <w:b/>
          <w:sz w:val="32"/>
        </w:rPr>
        <w:t>二、阶段零：概念对齐与架构映射</w:t>
      </w:r>
    </w:p>
    <w:p>
      <w:pPr>
        <w:spacing w:before="280" w:after="120"/>
      </w:pPr>
      <w:r>
        <w:rPr>
          <w:rFonts w:ascii="SimHei" w:hAnsi="SimHei" w:eastAsia="SimHei"/>
          <w:b/>
          <w:sz w:val="28"/>
        </w:rPr>
        <w:t>2.1 设计动机</w:t>
      </w:r>
    </w:p>
    <w:p>
      <w:pPr>
        <w:spacing w:line="440" w:lineRule="exact" w:after="80"/>
        <w:ind w:firstLine="420"/>
      </w:pPr>
      <w:r>
        <w:rPr>
          <w:rFonts w:ascii="Times New Roman" w:hAnsi="Times New Roman" w:eastAsia="SimSun"/>
          <w:b w:val="0"/>
          <w:sz w:val="24"/>
        </w:rPr>
        <w:t>不同专家对同一概念使用不同名称和编号。如张宏刚“原子层刻蚀”（4.13）、关奉伟“原子层（级）刻蚀”（4.21）和宋凤麒“原子级刻蚀加工”（4.15）为同一技术。按编号直接对齐会产生错误。</w:t>
      </w:r>
    </w:p>
    <w:p>
      <w:pPr>
        <w:spacing w:line="440" w:lineRule="exact" w:after="80"/>
        <w:ind w:firstLine="420"/>
      </w:pPr>
      <w:r>
        <w:rPr>
          <w:rFonts w:ascii="Times New Roman" w:hAnsi="Times New Roman" w:eastAsia="SimSun"/>
          <w:b w:val="0"/>
          <w:sz w:val="24"/>
        </w:rPr>
        <w:t>此外，部分专家引入了独有术语（如张宏刚的精度子类系列、关奉伟的测量仪器类），需智能挂载到主文档框架的合适位置。</w:t>
      </w:r>
    </w:p>
    <w:p>
      <w:pPr>
        <w:spacing w:before="280" w:after="120"/>
      </w:pPr>
      <w:r>
        <w:rPr>
          <w:rFonts w:ascii="SimHei" w:hAnsi="SimHei" w:eastAsia="SimHei"/>
          <w:b/>
          <w:sz w:val="28"/>
        </w:rPr>
        <w:t>2.2 实现方案</w:t>
      </w:r>
    </w:p>
    <w:p>
      <w:pPr>
        <w:spacing w:line="440" w:lineRule="exact" w:after="80"/>
        <w:ind w:firstLine="420"/>
      </w:pPr>
      <w:r>
        <w:rPr>
          <w:rFonts w:ascii="Times New Roman" w:hAnsi="Times New Roman" w:eastAsia="SimSun"/>
          <w:b w:val="0"/>
          <w:sz w:val="24"/>
        </w:rPr>
        <w:t>1次 Gemini API 调用（全量术语清单传入），输出：（1）概念聚类映射表；（2）推荐标准名称；（3）孤儿词条分类建议（挂载章节+理由）。</w:t>
      </w:r>
    </w:p>
    <w:p>
      <w:pPr>
        <w:spacing w:before="280" w:after="120"/>
      </w:pPr>
      <w:r>
        <w:rPr>
          <w:rFonts w:ascii="SimHei" w:hAnsi="SimHei" w:eastAsia="SimHei"/>
          <w:b/>
          <w:sz w:val="28"/>
        </w:rPr>
        <w:t>2.3 人工确认</w:t>
      </w:r>
    </w:p>
    <w:p>
      <w:pPr>
        <w:spacing w:line="440" w:lineRule="exact" w:after="80"/>
        <w:ind w:firstLine="420"/>
      </w:pPr>
      <w:r>
        <w:rPr>
          <w:rFonts w:ascii="Times New Roman" w:hAnsi="Times New Roman" w:eastAsia="SimSun"/>
          <w:b w:val="0"/>
          <w:sz w:val="24"/>
        </w:rPr>
        <w:t>界面展示聚类结果，用户可拆分/合并/修改挂载位置/决定孤儿词条纳入与否。确认后进入下一阶段。</w:t>
      </w:r>
    </w:p>
    <w:p>
      <w:pPr>
        <w:spacing w:before="400" w:after="200"/>
      </w:pPr>
      <w:r>
        <w:rPr>
          <w:rFonts w:ascii="SimHei" w:hAnsi="SimHei" w:eastAsia="SimHei"/>
          <w:b/>
          <w:sz w:val="32"/>
        </w:rPr>
        <w:t>三、阶段一：文档导入与解析</w:t>
      </w:r>
    </w:p>
    <w:p>
      <w:pPr>
        <w:spacing w:before="280" w:after="120"/>
      </w:pPr>
      <w:r>
        <w:rPr>
          <w:rFonts w:ascii="SimHei" w:hAnsi="SimHei" w:eastAsia="SimHei"/>
          <w:b/>
          <w:sz w:val="28"/>
        </w:rPr>
        <w:t>3.1 文档上传</w:t>
      </w:r>
    </w:p>
    <w:p>
      <w:pPr>
        <w:spacing w:line="440" w:lineRule="exact" w:after="80"/>
        <w:ind w:firstLine="420"/>
      </w:pPr>
      <w:r>
        <w:rPr>
          <w:rFonts w:ascii="Times New Roman" w:hAnsi="Times New Roman" w:eastAsia="SimSun"/>
          <w:b w:val="0"/>
          <w:sz w:val="24"/>
        </w:rPr>
        <w:t>拖拽或选择器上传，自动从文件名提取专家姓名，勾选参与文件，指定主稿作者（可多选）。</w:t>
      </w:r>
    </w:p>
    <w:p>
      <w:pPr>
        <w:spacing w:before="280" w:after="120"/>
      </w:pPr>
      <w:r>
        <w:rPr>
          <w:rFonts w:ascii="SimHei" w:hAnsi="SimHei" w:eastAsia="SimHei"/>
          <w:b/>
          <w:sz w:val="28"/>
        </w:rPr>
        <w:t>3.2 解析流程</w:t>
      </w:r>
    </w:p>
    <w:p>
      <w:pPr>
        <w:spacing w:line="440" w:lineRule="exact" w:after="80"/>
        <w:ind w:firstLine="420"/>
      </w:pPr>
      <w:r>
        <w:rPr>
          <w:rFonts w:ascii="Times New Roman" w:hAnsi="Times New Roman" w:eastAsia="SimSun"/>
          <w:b w:val="0"/>
          <w:sz w:val="24"/>
        </w:rPr>
        <w:t>mammoth.js 提取HTML → DOMParser解析 → 识别章节标题 → 提取术语条目（编号/中文名/英文名/定义）→ 判定完备性 → 输出JSON。</w:t>
      </w:r>
    </w:p>
    <w:p>
      <w:pPr>
        <w:spacing w:before="280" w:after="120"/>
      </w:pPr>
      <w:r>
        <w:rPr>
          <w:rFonts w:ascii="SimHei" w:hAnsi="SimHei" w:eastAsia="SimHei"/>
          <w:b/>
          <w:sz w:val="28"/>
        </w:rPr>
        <w:t>3.3 覆盖矩阵</w:t>
      </w:r>
    </w:p>
    <w:p>
      <w:pPr>
        <w:spacing w:line="440" w:lineRule="exact" w:after="80"/>
        <w:ind w:firstLine="420"/>
      </w:pPr>
      <w:r>
        <w:rPr>
          <w:rFonts w:ascii="Times New Roman" w:hAnsi="Times New Roman" w:eastAsia="SimSun"/>
          <w:b w:val="0"/>
          <w:sz w:val="24"/>
        </w:rPr>
        <w:t>基于阶段零概念簇生成矩阵：行=概念簇，列=8位专家，标注“✔有定义/○仅标题/—未提及”。作为全局鸟瞰图。</w:t>
      </w:r>
    </w:p>
    <w:p>
      <w:pPr>
        <w:spacing w:before="400" w:after="200"/>
      </w:pPr>
      <w:r>
        <w:rPr>
          <w:rFonts w:ascii="SimHei" w:hAnsi="SimHei" w:eastAsia="SimHei"/>
          <w:b/>
          <w:sz w:val="32"/>
        </w:rPr>
        <w:t>四、阶段二：AI 逐条合并（四步骤框架）</w:t>
      </w:r>
    </w:p>
    <w:p>
      <w:pPr>
        <w:spacing w:before="280" w:after="120"/>
      </w:pPr>
      <w:r>
        <w:rPr>
          <w:rFonts w:ascii="SimHei" w:hAnsi="SimHei" w:eastAsia="SimHei"/>
          <w:b/>
          <w:sz w:val="28"/>
        </w:rPr>
        <w:t>4.1 Prompt 设计</w:t>
      </w:r>
    </w:p>
    <w:p>
      <w:pPr>
        <w:spacing w:line="440" w:lineRule="exact" w:after="80"/>
        <w:ind w:firstLine="420"/>
      </w:pPr>
      <w:r>
        <w:rPr>
          <w:rFonts w:ascii="Times New Roman" w:hAnsi="Times New Roman" w:eastAsia="SimSun"/>
          <w:b w:val="0"/>
          <w:sz w:val="24"/>
        </w:rPr>
        <w:t>引入术语学“属+种差”框架作为 Chain-of-Thought 引导。System Instruction 核心：（1）严禁外部搜索；（2）以主稿为骨干；（3）先按属+种差拆解，再骨架嫁接；（4）增量以从句/定语/注释嫁接，读起来像主稿作者自己修订的版本；（5）短语级来源标记；（6）全程中文。</w:t>
      </w:r>
    </w:p>
    <w:p>
      <w:pPr>
        <w:spacing w:before="280" w:after="120"/>
      </w:pPr>
      <w:r>
        <w:rPr>
          <w:rFonts w:ascii="SimHei" w:hAnsi="SimHei" w:eastAsia="SimHei"/>
          <w:b/>
          <w:sz w:val="28"/>
        </w:rPr>
        <w:t>4.2 输出JSON结构（V2增强）</w:t>
      </w:r>
    </w:p>
    <w:p>
      <w:pPr>
        <w:spacing w:line="440" w:lineRule="exact" w:after="80"/>
      </w:pPr>
      <w:r>
        <w:rPr>
          <w:rFonts w:ascii="Times New Roman" w:hAnsi="Times New Roman" w:eastAsia="SimSun"/>
          <w:b w:val="0"/>
          <w:sz w:val="24"/>
        </w:rPr>
        <w:t>新增 dimensions 中间层（维度拆解表），含 label + descriptions[{text, sources[]}]。后接 segments[{text, source}] 短语级标注 + notes 合并备注。dimensions 的价值：强迫模型先分析再合并（CoT效应）；审阅界面展示AI思考过程。</w:t>
      </w:r>
    </w:p>
    <w:p>
      <w:pPr>
        <w:spacing w:before="280" w:after="120"/>
      </w:pPr>
      <w:r>
        <w:rPr>
          <w:rFonts w:ascii="SimHei" w:hAnsi="SimHei" w:eastAsia="SimHei"/>
          <w:b/>
          <w:sz w:val="28"/>
        </w:rPr>
        <w:t>4.3 调用策略</w:t>
      </w:r>
    </w:p>
    <w:p>
      <w:pPr>
        <w:spacing w:line="440" w:lineRule="exact" w:after="80"/>
        <w:ind w:firstLine="420"/>
      </w:pPr>
      <w:r>
        <w:rPr>
          <w:rFonts w:ascii="Times New Roman" w:hAnsi="Times New Roman" w:eastAsia="SimSun"/>
          <w:b w:val="0"/>
          <w:sz w:val="24"/>
        </w:rPr>
        <w:t>Gemini 2.5 Flash，逐概念簇串行，间隔500ms，失败重试3次（指数退避），仍失败标记“需人工处理”。实时进度条。</w:t>
      </w:r>
    </w:p>
    <w:p>
      <w:pPr>
        <w:spacing w:before="400" w:after="200"/>
      </w:pPr>
      <w:r>
        <w:rPr>
          <w:rFonts w:ascii="SimHei" w:hAnsi="SimHei" w:eastAsia="SimHei"/>
          <w:b/>
          <w:sz w:val="32"/>
        </w:rPr>
        <w:t>五、阶段三：交互式卡片审阅</w:t>
      </w:r>
    </w:p>
    <w:p>
      <w:pPr>
        <w:spacing w:before="280" w:after="120"/>
      </w:pPr>
      <w:r>
        <w:rPr>
          <w:rFonts w:ascii="SimHei" w:hAnsi="SimHei" w:eastAsia="SimHei"/>
          <w:b/>
          <w:sz w:val="28"/>
        </w:rPr>
        <w:t>5.1 卡片布局（V2增强）</w:t>
      </w:r>
    </w:p>
    <w:p>
      <w:pPr>
        <w:spacing w:line="440" w:lineRule="exact" w:after="80"/>
        <w:ind w:firstLine="420"/>
      </w:pPr>
      <w:r>
        <w:rPr>
          <w:rFonts w:ascii="SimHei" w:hAnsi="SimHei" w:eastAsia="SimHei"/>
          <w:b/>
          <w:sz w:val="24"/>
        </w:rPr>
        <w:t>顶栏：</w:t>
      </w:r>
      <w:r>
        <w:rPr>
          <w:rFonts w:ascii="Times New Roman" w:hAnsi="Times New Roman" w:eastAsia="SimSun"/>
          <w:b w:val="0"/>
          <w:sz w:val="24"/>
        </w:rPr>
        <w:t>术语编号、中文名、英文名、覆盖状态。</w:t>
      </w:r>
    </w:p>
    <w:p>
      <w:pPr>
        <w:spacing w:line="440" w:lineRule="exact" w:after="80"/>
        <w:ind w:firstLine="420"/>
      </w:pPr>
      <w:r>
        <w:rPr>
          <w:rFonts w:ascii="SimHei" w:hAnsi="SimHei" w:eastAsia="SimHei"/>
          <w:b/>
          <w:sz w:val="24"/>
        </w:rPr>
        <w:t>左上——合并建议稿：</w:t>
      </w:r>
      <w:r>
        <w:rPr>
          <w:rFonts w:ascii="Times New Roman" w:hAnsi="Times New Roman" w:eastAsia="SimSun"/>
          <w:b w:val="0"/>
          <w:sz w:val="24"/>
        </w:rPr>
        <w:t>短语级多色底色标注来源，同一句内可出现多种底色。</w:t>
      </w:r>
    </w:p>
    <w:p>
      <w:pPr>
        <w:spacing w:line="440" w:lineRule="exact" w:after="80"/>
        <w:ind w:firstLine="420"/>
      </w:pPr>
      <w:r>
        <w:rPr>
          <w:rFonts w:ascii="SimHei" w:hAnsi="SimHei" w:eastAsia="SimHei"/>
          <w:b/>
          <w:sz w:val="24"/>
        </w:rPr>
        <w:t>左下——维度拆解表（V2新增）：</w:t>
      </w:r>
      <w:r>
        <w:rPr>
          <w:rFonts w:ascii="Times New Roman" w:hAnsi="Times New Roman" w:eastAsia="SimSun"/>
          <w:b w:val="0"/>
          <w:sz w:val="24"/>
        </w:rPr>
        <w:t>展示AI识别的各种差维度及来源。专家可判断是否遗漏。</w:t>
      </w:r>
    </w:p>
    <w:p>
      <w:pPr>
        <w:spacing w:line="440" w:lineRule="exact" w:after="80"/>
        <w:ind w:firstLine="420"/>
      </w:pPr>
      <w:r>
        <w:rPr>
          <w:rFonts w:ascii="SimHei" w:hAnsi="SimHei" w:eastAsia="SimHei"/>
          <w:b/>
          <w:sz w:val="24"/>
        </w:rPr>
        <w:t>右栏——原文对比：</w:t>
      </w:r>
      <w:r>
        <w:rPr>
          <w:rFonts w:ascii="Times New Roman" w:hAnsi="Times New Roman" w:eastAsia="SimSun"/>
          <w:b w:val="0"/>
          <w:sz w:val="24"/>
        </w:rPr>
        <w:t>折叠面板，逐专家展示原始定义。</w:t>
      </w:r>
    </w:p>
    <w:p>
      <w:pPr>
        <w:spacing w:line="440" w:lineRule="exact" w:after="80"/>
        <w:ind w:firstLine="420"/>
      </w:pPr>
      <w:r>
        <w:rPr>
          <w:rFonts w:ascii="SimHei" w:hAnsi="SimHei" w:eastAsia="SimHei"/>
          <w:b/>
          <w:sz w:val="24"/>
        </w:rPr>
        <w:t>底栏——决策按钮：</w:t>
      </w:r>
      <w:r>
        <w:rPr>
          <w:rFonts w:ascii="Times New Roman" w:hAnsi="Times New Roman" w:eastAsia="SimSun"/>
          <w:b w:val="0"/>
          <w:sz w:val="24"/>
        </w:rPr>
        <w:t>“采纳合并稿”“采纳主稿原文”“手动编辑”“标记待议”。</w:t>
      </w:r>
    </w:p>
    <w:p>
      <w:pPr>
        <w:spacing w:before="280" w:after="120"/>
      </w:pPr>
      <w:r>
        <w:rPr>
          <w:rFonts w:ascii="SimHei" w:hAnsi="SimHei" w:eastAsia="SimHei"/>
          <w:b/>
          <w:sz w:val="28"/>
        </w:rPr>
        <w:t>5.2 四种特殊情况</w:t>
      </w:r>
    </w:p>
    <w:p>
      <w:pPr>
        <w:spacing w:line="440" w:lineRule="exact" w:after="80"/>
        <w:ind w:firstLine="420"/>
      </w:pPr>
      <w:r>
        <w:rPr>
          <w:rFonts w:ascii="Times New Roman" w:hAnsi="Times New Roman" w:eastAsia="SimSun"/>
          <w:b w:val="0"/>
          <w:sz w:val="24"/>
        </w:rPr>
        <w:t>情况一：主稿有+他人有→标准合并。情况二：仅主稿有→直接采用。情况三：主稿无+他人有→红框标注“待评审”。情况四：孤儿词条→展示AI挂载建议，用户决定。</w:t>
      </w:r>
    </w:p>
    <w:p>
      <w:pPr>
        <w:spacing w:before="280" w:after="120"/>
      </w:pPr>
      <w:r>
        <w:rPr>
          <w:rFonts w:ascii="SimHei" w:hAnsi="SimHei" w:eastAsia="SimHei"/>
          <w:b/>
          <w:sz w:val="28"/>
        </w:rPr>
        <w:t>5.3 进度追踪</w:t>
      </w:r>
    </w:p>
    <w:p>
      <w:pPr>
        <w:spacing w:line="440" w:lineRule="exact" w:after="80"/>
        <w:ind w:firstLine="420"/>
      </w:pPr>
      <w:r>
        <w:rPr>
          <w:rFonts w:ascii="Times New Roman" w:hAnsi="Times New Roman" w:eastAsia="SimSun"/>
          <w:b w:val="0"/>
          <w:sz w:val="24"/>
        </w:rPr>
        <w:t>顶部进度条（绿=已确认，灰=待审阅，橙=待议）。按章节折叠列表视图。全部确认后导出按钮亮起。</w:t>
      </w:r>
    </w:p>
    <w:p>
      <w:pPr>
        <w:spacing w:before="400" w:after="200"/>
      </w:pPr>
      <w:r>
        <w:rPr>
          <w:rFonts w:ascii="SimHei" w:hAnsi="SimHei" w:eastAsia="SimHei"/>
          <w:b/>
          <w:sz w:val="32"/>
        </w:rPr>
        <w:t>六、阶段四：导出 GB 格式文档</w:t>
      </w:r>
    </w:p>
    <w:p>
      <w:pPr>
        <w:spacing w:before="280" w:after="120"/>
      </w:pPr>
      <w:r>
        <w:rPr>
          <w:rFonts w:ascii="SimHei" w:hAnsi="SimHei" w:eastAsia="SimHei"/>
          <w:b/>
          <w:sz w:val="28"/>
        </w:rPr>
        <w:t>6.1 模板规范</w:t>
      </w:r>
    </w:p>
    <w:p>
      <w:pPr>
        <w:spacing w:line="440" w:lineRule="exact" w:after="80"/>
        <w:ind w:firstLine="420"/>
      </w:pPr>
      <w:r>
        <w:rPr>
          <w:rFonts w:ascii="Times New Roman" w:hAnsi="Times New Roman" w:eastAsia="SimSun"/>
          <w:b w:val="0"/>
          <w:sz w:val="24"/>
        </w:rPr>
        <w:t>严格遵循 GB/T 1.1—2020：封面、前言、正文、参考文献。字体：标题黑体、正文宋体、英文 Times New Roman。</w:t>
      </w:r>
    </w:p>
    <w:p>
      <w:pPr>
        <w:spacing w:before="280" w:after="120"/>
      </w:pPr>
      <w:r>
        <w:rPr>
          <w:rFonts w:ascii="SimHei" w:hAnsi="SimHei" w:eastAsia="SimHei"/>
          <w:b/>
          <w:sz w:val="28"/>
        </w:rPr>
        <w:t>6.2 来源标注</w:t>
      </w:r>
    </w:p>
    <w:p>
      <w:pPr>
        <w:spacing w:line="440" w:lineRule="exact" w:after="80"/>
        <w:ind w:firstLine="420"/>
      </w:pPr>
      <w:r>
        <w:rPr>
          <w:rFonts w:ascii="Times New Roman" w:hAnsi="Times New Roman" w:eastAsia="SimSun"/>
          <w:b w:val="0"/>
          <w:sz w:val="24"/>
        </w:rPr>
        <w:t>每个短语级片段按来源专家施加底色高亮。文末附来源对照表。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90"/>
        <w:gridCol w:w="2890"/>
        <w:gridCol w:w="2890"/>
      </w:tblGrid>
      <w:tr>
        <w:tc>
          <w:tcPr>
            <w:tcW w:type="dxa" w:w="1984"/>
          </w:tcPr>
          <w:p>
            <w:r/>
            <w:r>
              <w:rPr>
                <w:rFonts w:ascii="SimHei" w:hAnsi="SimHei" w:eastAsia="SimHei"/>
                <w:b/>
                <w:sz w:val="20"/>
              </w:rPr>
              <w:t>专家</w:t>
            </w:r>
          </w:p>
        </w:tc>
        <w:tc>
          <w:tcPr>
            <w:tcW w:type="dxa" w:w="1134"/>
          </w:tcPr>
          <w:p>
            <w:r/>
            <w:r>
              <w:rPr>
                <w:rFonts w:ascii="SimHei" w:hAnsi="SimHei" w:eastAsia="SimHei"/>
                <w:b/>
                <w:sz w:val="20"/>
              </w:rPr>
              <w:t>颜色</w:t>
            </w:r>
          </w:p>
        </w:tc>
        <w:tc>
          <w:tcPr>
            <w:tcW w:type="dxa" w:w="1417"/>
          </w:tcPr>
          <w:p>
            <w:r/>
            <w:r>
              <w:rPr>
                <w:rFonts w:ascii="SimHei" w:hAnsi="SimHei" w:eastAsia="SimHei"/>
                <w:b/>
                <w:sz w:val="20"/>
              </w:rPr>
              <w:t>色值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宋凤麒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浅蓝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#BDD7EE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关奉伟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浅绿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#C6EFCE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吕鹏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浅橙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#FCE4D6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王可心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浅紫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#D9D2E9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张宏刚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浅红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#F4CCCC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曹坤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浅青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#D0E0E3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柴智敏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浅粉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#F4C2C2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陈磊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浅黄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#FFF2CC</w:t>
            </w:r>
          </w:p>
        </w:tc>
      </w:tr>
    </w:tbl>
    <w:p>
      <w:pPr>
        <w:spacing w:before="400" w:after="200"/>
      </w:pPr>
      <w:r>
        <w:rPr>
          <w:rFonts w:ascii="SimHei" w:hAnsi="SimHei" w:eastAsia="SimHei"/>
          <w:b/>
          <w:sz w:val="32"/>
        </w:rPr>
        <w:t>七、里程碑规划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7"/>
        <w:gridCol w:w="2167"/>
        <w:gridCol w:w="2167"/>
        <w:gridCol w:w="2167"/>
      </w:tblGrid>
      <w:tr>
        <w:tc>
          <w:tcPr>
            <w:tcW w:type="dxa" w:w="850"/>
          </w:tcPr>
          <w:p>
            <w:r/>
            <w:r>
              <w:rPr>
                <w:rFonts w:ascii="SimHei" w:hAnsi="SimHei" w:eastAsia="SimHei"/>
                <w:b/>
                <w:sz w:val="20"/>
              </w:rPr>
              <w:t>里程碑</w:t>
            </w:r>
          </w:p>
        </w:tc>
        <w:tc>
          <w:tcPr>
            <w:tcW w:type="dxa" w:w="3118"/>
          </w:tcPr>
          <w:p>
            <w:r/>
            <w:r>
              <w:rPr>
                <w:rFonts w:ascii="SimHei" w:hAnsi="SimHei" w:eastAsia="SimHei"/>
                <w:b/>
                <w:sz w:val="20"/>
              </w:rPr>
              <w:t>内容</w:t>
            </w:r>
          </w:p>
        </w:tc>
        <w:tc>
          <w:tcPr>
            <w:tcW w:type="dxa" w:w="1417"/>
          </w:tcPr>
          <w:p>
            <w:r/>
            <w:r>
              <w:rPr>
                <w:rFonts w:ascii="SimHei" w:hAnsi="SimHei" w:eastAsia="SimHei"/>
                <w:b/>
                <w:sz w:val="20"/>
              </w:rPr>
              <w:t>交付物</w:t>
            </w:r>
          </w:p>
        </w:tc>
        <w:tc>
          <w:tcPr>
            <w:tcW w:type="dxa" w:w="1417"/>
          </w:tcPr>
          <w:p>
            <w:r/>
            <w:r>
              <w:rPr>
                <w:rFonts w:ascii="SimHei" w:hAnsi="SimHei" w:eastAsia="SimHei"/>
                <w:b/>
                <w:sz w:val="20"/>
              </w:rPr>
              <w:t>工期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M1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Phase 0 + 解析 + 四步骤合并 + 卡片审阅 + 导出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完整系统（单HTML）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4～6天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M2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手动编辑器、批量操作、维度视图优化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增强版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2～3天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M3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追问式交互、无主体AI推荐、修改历史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完整版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3～4天</w:t>
            </w:r>
          </w:p>
        </w:tc>
      </w:tr>
    </w:tbl>
    <w:sectPr w:rsidR="00FC693F" w:rsidRPr="0006063C" w:rsidSect="00034616">
      <w:pgSz w:w="11906" w:h="16838"/>
      <w:pgMar w:top="1440" w:right="1440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