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SimHei" w:hAnsi="SimHei" w:eastAsia="SimHei"/>
          <w:b/>
          <w:sz w:val="44"/>
        </w:rPr>
        <w:t>通用标准草案智能合并软件</w:t>
      </w:r>
    </w:p>
    <w:p>
      <w:pPr>
        <w:spacing w:after="600"/>
        <w:jc w:val="center"/>
      </w:pPr>
      <w:r>
        <w:rPr>
          <w:rFonts w:ascii="SimHei" w:hAnsi="SimHei" w:eastAsia="SimHei"/>
          <w:b/>
          <w:sz w:val="36"/>
        </w:rPr>
        <w:t>可行性分析报告</w:t>
      </w:r>
    </w:p>
    <w:p>
      <w:pPr>
        <w:spacing w:after="80"/>
        <w:jc w:val="center"/>
      </w:pPr>
      <w:r>
        <w:rPr>
          <w:rFonts w:ascii="Times New Roman" w:hAnsi="Times New Roman" w:eastAsia="SimSun"/>
          <w:b w:val="0"/>
          <w:color w:val="808080"/>
          <w:sz w:val="20"/>
        </w:rPr>
        <w:t>文档版本：V2.0    编制日期：2026年3月</w:t>
      </w:r>
    </w:p>
    <w:p>
      <w:pPr>
        <w:spacing w:after="1000"/>
        <w:jc w:val="center"/>
      </w:pPr>
      <w:r>
        <w:rPr>
          <w:rFonts w:ascii="Times New Roman" w:hAnsi="Times New Roman" w:eastAsia="SimSun"/>
          <w:b w:val="0"/>
          <w:color w:val="808080"/>
          <w:sz w:val="20"/>
        </w:rPr>
        <w:t>密级：内部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一、问题定义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1.1 核心命题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当前项目为“原子级制造术语标准”开发了多专家草案智能合并系统。本文分析其核心架构能否推广到所有国家标准类别，做成通用的“上传多份标准草案→生成可审计修改的标准合并稿”软件。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1.2 行业痛点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每年数千项国家标准的编制都涉及多专家草案合并。人工合并一项50～100条目的术语标准需2～4周，复杂产品/管理标准需数月。效率极低，易遗漏专家贡献。国内标准化领域尚无成熟AI合并工具。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二、术语标准的结构优势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当前项目的三个结构性优势：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原子性：</w:t>
      </w:r>
      <w:r>
        <w:rPr>
          <w:rFonts w:ascii="Times New Roman" w:hAnsi="Times New Roman" w:eastAsia="SimSun"/>
          <w:b w:val="0"/>
          <w:sz w:val="24"/>
        </w:rPr>
        <w:t>每个术语条目自包含，无逻辑依赖，可独立合并/审阅。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对称性：</w:t>
      </w:r>
      <w:r>
        <w:rPr>
          <w:rFonts w:ascii="Times New Roman" w:hAnsi="Times New Roman" w:eastAsia="SimSun"/>
          <w:b w:val="0"/>
          <w:sz w:val="24"/>
        </w:rPr>
        <w:t>多专家面对同一清单各自定义，输入天然对齐，N对1映射。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无条件逻辑：</w:t>
      </w:r>
      <w:r>
        <w:rPr>
          <w:rFonts w:ascii="Times New Roman" w:hAnsi="Times New Roman" w:eastAsia="SimSun"/>
          <w:b w:val="0"/>
          <w:sz w:val="24"/>
        </w:rPr>
        <w:t>术语定义是陈述句，不存在“如果...则...”条件分支，不会出现逻辑冲突。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三、标准类型结构差异全景分析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3.1 分类标准（复用90%+）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如GB/T 7635。本质是分类树，每个节点=类目名称+定义+编码。合并逻辑几乎等同术语标准，额外挑战仅为树结构合并（当前架构“孤儿词条挂载”已涵盖）。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3.2 试验方法标准（复用约60%）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如GB/T 228.1。核心差异：（1）条目不再原子性—步骤引用前面章节参数，需构建交叉引用图；（2）步骤有严格时序—顺序不同可能是技术矛盾而非视角互补，需时序校验。解析层和审阅层可复用，AI层需新增能力。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3.3 产品标准（复用约40%）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如GB/T 2423。三个新问题：（1）数值冲突—两位专家指标不同时不能“融合”，必须检测提交裁决；（2）复杂表格结构解析困难；（3）“必须”“应当”“可以”等模态动词的法律含义差异。需新增冲突检测引擎、表格解析器、模态动词规范化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3.4 管理标准（复用约15%）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如GB/T 19001。条款间存在密集的条件依赖和逻辑蕴含关系，修改一个条款可能导致多个联动调整。“逐条卡片审阅”失效，需条款关系图。仅UI框架和导出层可复用。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3.5 安全/合规标准（不建议AI介入）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强制性国标条款具有法规约束力，AI合并的任何遗漏或错误可能产生法律后果。最多做格式差异标记。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四、通用化技术架构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4.1 插件化平台三层架构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通用层（100%复用）：</w:t>
      </w:r>
      <w:r>
        <w:rPr>
          <w:rFonts w:ascii="Times New Roman" w:hAnsi="Times New Roman" w:eastAsia="SimSun"/>
          <w:b w:val="0"/>
          <w:sz w:val="24"/>
        </w:rPr>
        <w:t>docx读写、GB/T模板、来源颜色标注、UI基础设施。写一次不改。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审阅框架层（85%复用）：</w:t>
      </w:r>
      <w:r>
        <w:rPr>
          <w:rFonts w:ascii="Times New Roman" w:hAnsi="Times New Roman" w:eastAsia="SimSun"/>
          <w:b w:val="0"/>
          <w:sz w:val="24"/>
        </w:rPr>
        <w:t>卡片式审阅、决策追踪、批量操作。同一个壳，卡片内部布局按标准类型切换（术语→定义+维度表，试验→步骤流程图，产品→指标对比表）。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标准类型插件层（可扩展）：</w:t>
      </w:r>
      <w:r>
        <w:rPr>
          <w:rFonts w:ascii="Times New Roman" w:hAnsi="Times New Roman" w:eastAsia="SimSun"/>
          <w:b w:val="0"/>
          <w:sz w:val="24"/>
        </w:rPr>
        <w:t>每个标准类型=1个插件，含解析器（Parser）+ Prompt模板 + 校验器（Validator）。新增类型只需开发新插件。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4.2 插件规划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417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插件</w:t>
            </w:r>
          </w:p>
        </w:tc>
        <w:tc>
          <w:tcPr>
            <w:tcW w:type="dxa" w:w="1134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适用范围</w:t>
            </w:r>
          </w:p>
        </w:tc>
        <w:tc>
          <w:tcPr>
            <w:tcW w:type="dxa" w:w="1417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解析器</w:t>
            </w:r>
          </w:p>
        </w:tc>
        <w:tc>
          <w:tcPr>
            <w:tcW w:type="dxa" w:w="1701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Prompt策略</w:t>
            </w:r>
          </w:p>
        </w:tc>
        <w:tc>
          <w:tcPr>
            <w:tcW w:type="dxa" w:w="1134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校验器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TermPlugin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术语/分类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条目提取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属+种差拆解+骨架嫁接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TestMethodPlugin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试验方法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步骤序列+引用图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步骤对齐+时序校验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时序一致性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ProductPlugin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产品标准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要求表格+数值解析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指标对比+冲突检测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数值无矛盾+模态词</w:t>
            </w:r>
          </w:p>
        </w:tc>
      </w:tr>
    </w:tbl>
    <w:p>
      <w:pPr>
        <w:spacing w:before="400" w:after="200"/>
      </w:pPr>
      <w:r>
        <w:rPr>
          <w:rFonts w:ascii="SimHei" w:hAnsi="SimHei" w:eastAsia="SimHei"/>
          <w:b/>
          <w:sz w:val="32"/>
        </w:rPr>
        <w:t>五、演进路径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第一步（当前）：</w:t>
      </w:r>
      <w:r>
        <w:rPr>
          <w:rFonts w:ascii="Times New Roman" w:hAnsi="Times New Roman" w:eastAsia="SimSun"/>
          <w:b w:val="0"/>
          <w:sz w:val="24"/>
        </w:rPr>
        <w:t>为“原子级制造术语标准”做完美专用工具，打磨核心架构。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第二步：</w:t>
      </w:r>
      <w:r>
        <w:rPr>
          <w:rFonts w:ascii="Times New Roman" w:hAnsi="Times New Roman" w:eastAsia="SimSun"/>
          <w:b w:val="0"/>
          <w:sz w:val="24"/>
        </w:rPr>
        <w:t>第二个术语/分类标准项目验证通用层稳定性，抽象插件接口。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第三步：</w:t>
      </w:r>
      <w:r>
        <w:rPr>
          <w:rFonts w:ascii="Times New Roman" w:hAnsi="Times New Roman" w:eastAsia="SimSun"/>
          <w:b w:val="0"/>
          <w:sz w:val="24"/>
        </w:rPr>
        <w:t>第三个项目（试验方法标准）开发首个非术语插件，验证扩展性。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第四步：</w:t>
      </w:r>
      <w:r>
        <w:rPr>
          <w:rFonts w:ascii="Times New Roman" w:hAnsi="Times New Roman" w:eastAsia="SimSun"/>
          <w:b w:val="0"/>
          <w:sz w:val="24"/>
        </w:rPr>
        <w:t>基于三个实际项目经验发布通用平台1.0，开放插件接口。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六、商业化潜力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6.1 市场空白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国内标准化信息化以“全文检索”“编写模板”为主，无“多草案AI合并”类产品。明确的市场空白。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6.2 落地路径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以仪综所归口的标准项目为锚点（仪综所是多个全国标委会归口单位），用实际案例积累口碑后向外扩展。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七、结论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通用化技术可行，应走渐进路径：（1）术语/分类标准可直接复用（90%+），短期最有价值；（2）试验方法/产品标准需中等插件开发（40-60%），中期目标；（3）管理/安全标准差异过大，暂不纳入；（4）插件架构实现统一平台、按需扩展；（5）商业路径清晰，填补国内标准化AI合并工具空白。</w:t>
      </w:r>
    </w:p>
    <w:sectPr w:rsidR="00FC693F" w:rsidRPr="0006063C" w:rsidSect="00034616"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