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关键数字（2026-10-18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705 个事件 / 705 个富化样本</w:t>
            </w:r>
          </w:p>
        </w:tc>
        <w:tc>
          <w:tcPr>
            <w:tcW w:type="dxa" w:w="3173"/>
          </w:tcPr>
          <w:p>
            <w:r>
              <w:t>演示机 data/intel.sqlite，快照 2026-10-18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23 个采集日，定时运行 13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55 / 已关闭 47（复测 3 + 接受风险 44，85.45%）</w:t>
            </w:r>
          </w:p>
        </w:tc>
        <w:tc>
          <w:tcPr>
            <w:tcW w:type="dxa" w:w="3173"/>
          </w:tcPr>
          <w:p>
            <w:r>
              <w:t>已关闭 = 复测关闭 + 接受风险；verified_rate 只计复测关闭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731 passed / 0 skipped</w:t>
            </w:r>
          </w:p>
        </w:tc>
        <w:tc>
          <w:tcPr>
            <w:tcW w:type="dxa" w:w="3173"/>
          </w:tcPr>
          <w:p>
            <w:r>
              <w:t>全量 pytest（快照 2026-10-18；数字随提交更新）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realtime=false）；监测时效性按漏洞类判定为良好档，距优秀档（≤6 小时）仍有距离（混合口径 p50 14.43 小时只作附录，不作为本项分母）；跨文档路径 10/21，缺 52 条文档间边；POC 与资产两个维度在评测语料中无数据；**连续运行目标在当前窗口未达成**：计划任务已改为无限重复，2026-10-14 当日按小时运行 9 次，2026-10-15 亦已触发；但 10-09/11/12/13 四天无计划运行，连续天数需重新累积，预计 2026-10-20 回到目标（逐日核对见 docs/A_CONTINUOUS_RUN_STATUS_20261015.md）。关系维度的 1.0 / 0.734 只代表抽样范围，不外推为全语料指标。术语可达 29/31 属检索覆盖；术语 → 文档两跳计的是“术语命中了哪些文档”。三个口径分列、不合并，任一都不能替代跨文档推理。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227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评分 480 个事件、论文关联 162 个事件、修复版本 110 个事件、POC 引用 96 个事件、资产研判 50 个事件、带证据关系 26 个事件。每个字段都保存来源标识，可以逐条回读原始快照。这里的覆盖数来自同一份快照，分母随事件总量变化，不再手写。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480 / 705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162 / 705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110 / 705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96 / 705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50 / 705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705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docs/CASE_QA_MULTITURN_CROSSDOC.md。2026-10-18 另有一轮机器重跑（同 50 题、新语料），三项机器指标同值、引用总数 229；该轮人工判定尚未完成，因此本报告的正式结论仍按 2026-10-12 批次与 2026-10-15 判定引用，批次关系见 docs/B4_BATCH_CONSISTENCY_20261018.md。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条文档间引用边。另有一项独立的检索覆盖指标：术语可达 29/31，衡量的是“给定术语能否在语料中被检索到”，它不对应任何推理链，因此单独报告，不替换也不抬高 10/21。因此本模块的定位是跨文档检索与聚合，不是完整跨文档推理。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知识图谱页：26 张术语卡（种子表固定条数）；覆盖数与关联文档数随语料变化，以接口返回为准（GET /api/knowledge/terms），不在此处写死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知识图谱页：术语节点与文档节点分型渲染的两跳关系；种子表固定 26 条术语，边数随语料变化，以 GET /api/knowledge/terms 的返回为准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个有效样本；混合口径只作附录，不作为本项判定分母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2.2 小时；NVD 中位 8.27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81 / 162，与附录 B 同一份快照（2026-10-18）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p50 = 449.9 ms / p95 = 627.9 ms</w:t>
            </w:r>
          </w:p>
        </w:tc>
        <w:tc>
          <w:tcPr>
            <w:tcW w:type="dxa" w:w="3173"/>
          </w:tcPr>
          <w:p>
            <w:r>
              <w:t>50 题同一批次实测（formal_qa_results_20261012.json）；赛题目标单题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23 个采集日，定时 13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天连续运行目标：当前窗口未达成——计划任务已改为无限重复，2026-10-14 当日运行 9 次、10-15 已触发，但 10-09/11/12/13 无计划运行；连续天数需重新累积，预计 2026-10-20 回到目标（见 docs/A_CONTINUOUS_RUN_STATUS_20261015.md）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731 passed / 0 skipped</w:t>
            </w:r>
          </w:p>
        </w:tc>
        <w:tc>
          <w:tcPr>
            <w:tcW w:type="dxa" w:w="3173"/>
          </w:tcPr>
          <w:p>
            <w:r>
              <w:t>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14.43 小时，但如果就此说“采集慢”是错的。按来源类别拆开看，延迟最大的一段根本不在漏洞类——arxiv 44.01 小时、openalex 61.81 小时，它们衡量的是论文与索引的发布节奏；而赛题问的是漏洞信息。漏洞类里 GHSA 中位 2.2 小时、NVD 中位 8.27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2.2 小时，NVD 中位 8.27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r>
        <w:t>本项的档位口径也一并定稿：**按漏洞类判定为良好**——GHSA 与 NVD 两个漏洞来源的中位延迟都落在≤12 小时区间（GHSA 2.2 小时、NVD 8.27 小时，均取自同一份快照）；混合口径不算本项分母，只作附录 B 的参考（当前快照 336 个有效样本、中位 14.43 小时）。数字来源分两类：混合口径只认docs/report/metrics_snapshot.json 的快照块，分列与上游归因以 docs/A_TIMELINESS_ATTRIBUTION.md 第 3、4 节为准（本机机读产物 reports/timeliness-attribution.json）。对照表 §2.1、docs/METRICS_BASELINE.md 的 2.1 节与本报告三处写的是同一条口径；tools/refresh_metrics_snapshot.py --write 只推进快照块，档位判定不随刷新改写。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第十章的主表按来源类别分列，因为赛题问的是漏洞信息。混合口径不删除、不隐藏，列在这里备查：336 个有效样本，中位 14.43 小时，6 小时内 32.4%、12 小时内 47.6%、24 小时内 62.5%。混合口径只用于说明瓶颈在上游，不作为本项判定分母——本项判的是漏洞类，档位是良好。下面这张表与第十章主表读的是同一份快照（2026-10-18），日期与样本量一致，不再各自维护一份。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162</w:t>
            </w:r>
          </w:p>
        </w:tc>
        <w:tc>
          <w:tcPr>
            <w:tcW w:type="dxa" w:w="1904"/>
          </w:tcPr>
          <w:p>
            <w:r>
              <w:t>8.27 小时</w:t>
            </w:r>
          </w:p>
        </w:tc>
        <w:tc>
          <w:tcPr>
            <w:tcW w:type="dxa" w:w="1904"/>
          </w:tcPr>
          <w:p>
            <w:r>
              <w:t>358.0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88</w:t>
            </w:r>
          </w:p>
        </w:tc>
        <w:tc>
          <w:tcPr>
            <w:tcW w:type="dxa" w:w="1904"/>
          </w:tcPr>
          <w:p>
            <w:r>
              <w:t>44.01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81</w:t>
            </w:r>
          </w:p>
        </w:tc>
        <w:tc>
          <w:tcPr>
            <w:tcW w:type="dxa" w:w="1904"/>
          </w:tcPr>
          <w:p>
            <w:r>
              <w:t>2.2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336</w:t>
            </w:r>
          </w:p>
        </w:tc>
        <w:tc>
          <w:tcPr>
            <w:tcW w:type="dxa" w:w="1904"/>
          </w:tcPr>
          <w:p>
            <w:r>
              <w:t>14.43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docs/COMPETITION_RUBRIC_MAPPING.md。该表同时列出三处必须如实说明的缺口：无实时监测、时效性距优秀档（≤6 小时）尚有距离、跨文档路径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