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698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赛题指标页的来源健康度面板（每个来源的状态、最近成功时间、连续失败次数）</w:t>
            </w:r>
          </w:p>
        </w:tc>
        <w:tc>
          <w:tcPr>
            <w:tcW w:type="dxa" w:w="3173"/>
          </w:tcPr>
          <w:p>
            <w:r>
              <w:t>app/static/app.js、/api/system/health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/api/system/health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698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对时效性的分析：采集是小时级的，但首次观测的中位延迟是 18.1 小时，说明延迟主要不来自采集间隔，更可能来自事件被记到较慢的来源上。这是下一步要查清的问题，本轮没有把它归因于网络或上游。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