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637 个事件 / 637 个富化样本</w:t>
            </w:r>
          </w:p>
        </w:tc>
        <w:tc>
          <w:tcPr>
            <w:tcW w:type="dxa" w:w="3173"/>
          </w:tcPr>
          <w:p>
            <w:r>
              <w:t>演示机 data/intel.sqlite，快照 2026-10-14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20 个采集日，定时运行 10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48 / 已关闭 4（8.33%）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691 通过 / 4 跳过</w:t>
            </w:r>
          </w:p>
        </w:tc>
        <w:tc>
          <w:tcPr>
            <w:tcW w:type="dxa" w:w="3173"/>
          </w:tcPr>
          <w:p>
            <w:r>
              <w:t>交付机全量 pytest（提交前重跑）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 p50 为 15.69 小时，只达到赛题合格档；跨文档路径 10/21，缺 52 条文档间边；POC 与资产两个维度在评测语料中无数据；**连续运行目标在当前窗口未达成**：计划任务窗口 2026-10-11 到期后 10-12 无计划运行，连续天数已重新起算，需恢复运行后重新累积 7 天。关系维度的 1.0 / 0.734 只代表抽样范围，不外推为全语料指标。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覆盖 388 个事件、论文关联 150 个、修复版本 101 个、POC 引用 74 个、资产研判 48 个、带证据关系 26 个。每个字段都保存来源标识，可以逐条回读原始快照。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388 / 596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596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101 / 596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74 / 596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596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596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赛题指标页的来源健康度面板（每个来源的状态、最近成功时间、连续失败次数）</w:t>
            </w:r>
          </w:p>
        </w:tc>
        <w:tc>
          <w:tcPr>
            <w:tcW w:type="dxa" w:w="3173"/>
          </w:tcPr>
          <w:p>
            <w:r>
              <w:t>app/static/app.js、/api/system/health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/api/system/health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个有效样本；赛题合格档为 ≤24 小时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分位数按批次独立统计</w:t>
            </w:r>
          </w:p>
        </w:tc>
        <w:tc>
          <w:tcPr>
            <w:tcW w:type="dxa" w:w="3173"/>
          </w:tcPr>
          <w:p>
            <w:r>
              <w:t>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20 个采集日，定时 10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天连续运行目标：当前窗口未达成——计划任务窗口 10-11 到期后 10-12 无计划运行，连续天数已重新起算，恢复运行后需重新累积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691 通过 / 4 跳过 / 0 失败</w:t>
            </w:r>
          </w:p>
        </w:tc>
        <w:tc>
          <w:tcPr>
            <w:tcW w:type="dxa" w:w="3173"/>
          </w:tcPr>
          <w:p>
            <w:r>
              <w:t>4 条跳过需要两份未交付的衍生语料副本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对时效性的分析：采集是小时级的，但首次观测的中位延迟是 18.1 小时，说明延迟主要不来自采集间隔，更可能来自事件被记到较慢的来源上。这是下一步要查清的问题，本轮没有把它归因于网络或上游。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docs/COMPETITION_RUBRIC_MAPPING.md。该表同时列出三处必须如实说明的缺口：无实时监测、时效性只到合格档、跨文档路径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