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637 个事件 / 637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53 / 已关闭 4（7.55%）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701 passed, 0 skipped, 0 failed</w:t>
            </w:r>
          </w:p>
        </w:tc>
        <w:tc>
          <w:tcPr>
            <w:tcW w:type="dxa" w:w="3173"/>
          </w:tcPr>
          <w:p>
            <w:r>
              <w:t>交付机全量 pytest（快照 2026-10-14）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15.69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知识图谱页：14 张术语卡，已覆盖的标出关联文档数并给出语料原文定义句（带 chunk id 与字符偏移），未覆盖的如实标注而不是编造释义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1.8 小时；NVD 中位 12.4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67 / 119，取自 docs/A_TIMELINESS_ATTRIBUTION.md 第 3 节的交付机读数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701 passed, 0 skipped, 0 failed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18.1 小时，但如果就此说“采集慢”是错的。按来源类别拆开看，延迟最大的一段根本不在漏洞类——arxiv 36.5 小时、openalex 61.8 小时，它们衡量的是论文与索引的发布节奏；而赛题问的是漏洞信息。漏洞类里 GHSA 中位 1.8 小时、NVD 中位 12.4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1.8 小时，NVD 中位 12.4 小时，差值来自上游发布与入库节奏。分列把混合口径里那些与漏洞无关的发布节奏剥出去，但混合口径本身保留在附录 B，两个数都能被追问。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第十章的主表按来源类别分列，因为赛题问的是漏洞信息。混合口径不删除、不隐藏，列在这里备查：267 个有效样本，中位 18.1 小时，6 小时内 27.7%、12 小时内 39.7%、24 小时内 58.4%。这一档只够赛题的合格档，分列并不改变档位判定——本项交付的是归因，不是抬分。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67</w:t>
            </w:r>
          </w:p>
        </w:tc>
        <w:tc>
          <w:tcPr>
            <w:tcW w:type="dxa" w:w="1904"/>
          </w:tcPr>
          <w:p>
            <w:r>
              <w:t>1.8 小时</w:t>
            </w:r>
          </w:p>
        </w:tc>
        <w:tc>
          <w:tcPr>
            <w:tcW w:type="dxa" w:w="1904"/>
          </w:tcPr>
          <w:p>
            <w:r>
              <w:t>94.1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119</w:t>
            </w:r>
          </w:p>
        </w:tc>
        <w:tc>
          <w:tcPr>
            <w:tcW w:type="dxa" w:w="1904"/>
          </w:tcPr>
          <w:p>
            <w:r>
              <w:t>12.4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其他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267</w:t>
            </w:r>
          </w:p>
        </w:tc>
        <w:tc>
          <w:tcPr>
            <w:tcW w:type="dxa" w:w="1904"/>
          </w:tcPr>
          <w:p>
            <w:r>
              <w:t>18.1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