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关键数字（2026-10-18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2026-10-18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24 个采集日，定时运行 14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55 / 已关闭 53（复测 9 + 接受风险 44，96.36%）</w:t>
            </w:r>
          </w:p>
        </w:tc>
        <w:tc>
          <w:tcPr>
            <w:tcW w:type="dxa" w:w="3173"/>
          </w:tcPr>
          <w:p>
            <w:r>
              <w:t>已关闭 = 复测关闭 + 接受风险；verified_rate 只计复测关闭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733 passed / 0 skipped</w:t>
            </w:r>
          </w:p>
        </w:tc>
        <w:tc>
          <w:tcPr>
            <w:tcW w:type="dxa" w:w="3173"/>
          </w:tcPr>
          <w:p>
            <w:r>
              <w:t>全量 pytest（快照 2026-10-18；数字随提交更新）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227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50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50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docs/CASE_QA_MULTITURN_CROSSDOC.md。2026-10-18 另有一轮机器重跑（同 50 题、新语料），三项机器指标同值、引用总数 229；该轮人工判定尚未完成，因此本报告的正式结论仍按 2026-10-12 批次与 2026-10-15 判定引用，批次关系见 docs/B4_BATCH_CONSISTENCY_20261018.md。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张术语卡（种子表固定条数）；覆盖数与关联文档数随语料变化，以接口返回为准（GET /api/knowledge/terms），不在此处写死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知识图谱页：术语节点与文档节点分型渲染的两跳关系；种子表固定 26 条术语，边数随语料变化，以 GET /api/knowledge/terms 的返回为准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同一份快照（2026-10-18）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24 个采集日，定时 14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733 passed / 0 skipped</w:t>
            </w:r>
          </w:p>
        </w:tc>
        <w:tc>
          <w:tcPr>
            <w:tcW w:type="dxa" w:w="3173"/>
          </w:tcPr>
          <w:p>
            <w:r>
              <w:t>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62.5%。混合口径只用于说明瓶颈在上游，不作为本项判定分母——本项判的是漏洞类，档位是良好。下面这张表与第十章主表读的是同一份快照（2026-10-18），日期与样本量一致，不再各自维护一份。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