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638 个事件 / 638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15.58 小时；6 小时内 32.0%</w:t>
            </w:r>
          </w:p>
        </w:tc>
        <w:tc>
          <w:tcPr>
            <w:tcW w:type="dxa" w:w="3173"/>
          </w:tcPr>
          <w:p>
            <w:r>
              <w:t>297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53 / 已关闭 4（7.55%）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702 passed, 0 skipped, 0 failed</w:t>
            </w:r>
          </w:p>
        </w:tc>
        <w:tc>
          <w:tcPr>
            <w:tcW w:type="dxa" w:w="3173"/>
          </w:tcPr>
          <w:p>
            <w:r>
              <w:t>交付机全量 pytest（快照 2026-10-14）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15.58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只代表抽样范围，不外推为全语料指标。术语可达 29/31 属检索覆盖，与 10/21 是两个口径，正文中分列、不合并。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427 个事件、论文关联 150 个事件、修复版本 107 个事件、POC 引用 82 个事件、资产研判 48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427 / 638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638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107 / 638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82 / 638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638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638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18 条语料已覆盖、共关联 82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15.58 小时；6 小时内 32.0%</w:t>
            </w:r>
          </w:p>
        </w:tc>
        <w:tc>
          <w:tcPr>
            <w:tcW w:type="dxa" w:w="3173"/>
          </w:tcPr>
          <w:p>
            <w:r>
              <w:t>297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1.75 小时；NVD 中位 8.34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69 / 147，与附录 B 同一份快照（2026-10-14）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702 passed, 0 skipped, 0 failed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15.58 小时，但如果就此说“采集慢”是错的。按来源类别拆开看，延迟最大的一段根本不在漏洞类——arxiv 36.53 小时、openalex 61.81 小时，它们衡量的是论文与索引的发布节奏；而赛题问的是漏洞信息。漏洞类里 GHSA 中位 1.75 小时、NVD 中位 8.34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1.75 小时，NVD 中位 8.34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第十章的主表按来源类别分列，因为赛题问的是漏洞信息。混合口径不删除、不隐藏，列在这里备查：297 个有效样本，中位 15.58 小时，6 小时内 32.0%、12 小时内 45.1%、24 小时内 62.0%。这一档只够赛题的合格档，分列并不改变档位判定——本项交付的是归因，不是抬分。本表与第十章共用同一份快照，不单独维护。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147</w:t>
            </w:r>
          </w:p>
        </w:tc>
        <w:tc>
          <w:tcPr>
            <w:tcW w:type="dxa" w:w="1904"/>
          </w:tcPr>
          <w:p>
            <w:r>
              <w:t>8.34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36.53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69</w:t>
            </w:r>
          </w:p>
        </w:tc>
        <w:tc>
          <w:tcPr>
            <w:tcW w:type="dxa" w:w="1904"/>
          </w:tcPr>
          <w:p>
            <w:r>
              <w:t>1.75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297</w:t>
            </w:r>
          </w:p>
        </w:tc>
        <w:tc>
          <w:tcPr>
            <w:tcW w:type="dxa" w:w="1904"/>
          </w:tcPr>
          <w:p>
            <w:r>
              <w:t>15.58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