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433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544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40320"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851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693B43"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5772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5670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55680;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5260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6464"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0560"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4656"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ergodicidad, ya que si bien para </w:t>
      </w:r>
      <m:oMath>
        <m:r>
          <w:rPr>
            <w:rFonts w:ascii="Cambria Math" w:hAnsi="Cambria Math"/>
            <w:highlight w:val="lightGray"/>
          </w:rPr>
          <m:t>k=12</m:t>
        </m:r>
      </m:oMath>
      <w:r w:rsidR="00A27340" w:rsidRPr="00851817">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no es estacionario.</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693B43"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6182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6080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5875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grandes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6489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679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669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6592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693B43"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693B43"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693B43"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693B43"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693B43"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693B43"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693B43"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693B43"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693B43"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693B43"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693B43"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693B43"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688"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92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14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2336"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9504"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60339534" w:rsidR="007B40D2" w:rsidRPr="00EC0C8C" w:rsidRDefault="00693B43"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47F81621" w:rsidR="007B40D2" w:rsidRPr="00EC0C8C" w:rsidRDefault="00693B43"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693B43"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693B43"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693B43"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693B43"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693B43"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693B43"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sidR="00A14ABE">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r w:rsidR="00A14ABE" w:rsidRPr="00A14ABE">
        <w:rPr>
          <w:rFonts w:ascii="Cascadia Code Light" w:hAnsi="Cascadia Code Light" w:cs="Cascadia Code Light"/>
          <w:sz w:val="14"/>
          <w:szCs w:val="14"/>
        </w:rPr>
        <w:t>armasubsets</w:t>
      </w:r>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r w:rsidR="00A14ABE">
        <w:rPr>
          <w:i/>
          <w:iCs/>
          <w:sz w:val="16"/>
          <w:szCs w:val="16"/>
        </w:rPr>
        <w:t>ols</w:t>
      </w:r>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r>
        <w:rPr>
          <w:b/>
          <w:bCs/>
          <w:i/>
          <w:iCs/>
        </w:rPr>
        <w:t xml:space="preserve">ARIMA(9,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693B43"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693B43"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ARIMA(9, 1, 12)</w:t>
      </w:r>
      <w:r w:rsidR="007D6F31">
        <w:t xml:space="preserve">, la ecuación sería como se muestra en la </w:t>
      </w:r>
      <w:r w:rsidR="007D6F31">
        <w:rPr>
          <w:b/>
          <w:bCs/>
          <w:i/>
          <w:iCs/>
        </w:rPr>
        <w:t>ecuación 4</w:t>
      </w:r>
      <w:r w:rsidR="007D6F31">
        <w:t>:</w:t>
      </w:r>
    </w:p>
    <w:p w14:paraId="7D6B60AE" w14:textId="03A45F67" w:rsidR="007D6F31" w:rsidRDefault="00693B43"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693B43"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r w:rsidRPr="00A14ABE">
        <w:rPr>
          <w:rFonts w:ascii="Cascadia Code Light" w:hAnsi="Cascadia Code Light" w:cs="Cascadia Code Light"/>
          <w:sz w:val="16"/>
          <w:szCs w:val="16"/>
        </w:rPr>
        <w:t>armasubsets</w:t>
      </w:r>
      <w:r>
        <w:t xml:space="preserve"> de la </w:t>
      </w:r>
      <w:r>
        <w:rPr>
          <w:b/>
          <w:bCs/>
          <w:i/>
          <w:iCs/>
        </w:rPr>
        <w:t>figura 6</w:t>
      </w:r>
      <w:r>
        <w:t xml:space="preserve">, 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693B43"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693B43"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C37549">
      <w:pPr>
        <w:pStyle w:val="Prrafodelista"/>
        <w:tabs>
          <w:tab w:val="left" w:pos="567"/>
        </w:tabs>
        <w:spacing w:line="240" w:lineRule="auto"/>
        <w:rPr>
          <w:b/>
          <w:bCs/>
        </w:rPr>
      </w:pPr>
    </w:p>
    <w:p w14:paraId="2B3F475B" w14:textId="47E11D84" w:rsidR="00F71942" w:rsidRPr="00F02B9C" w:rsidRDefault="00F71942" w:rsidP="005328CD">
      <w:pPr>
        <w:spacing w:line="240" w:lineRule="auto"/>
        <w:ind w:firstLine="567"/>
      </w:pPr>
      <w:r w:rsidRPr="00F02B9C">
        <w:t xml:space="preserve">Se considerará cuatro modelos SARIMA: </w:t>
      </w:r>
      <w:r w:rsidRPr="00F02B9C">
        <w:rPr>
          <w:b/>
          <w:bCs/>
        </w:rPr>
        <w:t>ARIMA(2,1,0)(0,1,2)[12],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Así,</w:t>
      </w:r>
      <w:r w:rsidR="00BF066C" w:rsidRPr="00F02B9C">
        <w:t xml:space="preserve"> para poder realizar el ajuste de los cuatro modelos anteriores van a ser consideradas las primeras </w:t>
      </w:r>
      <m:oMath>
        <m:r>
          <w:rPr>
            <w:rFonts w:ascii="Cambria Math" w:hAnsi="Cambria Math"/>
          </w:rPr>
          <m:t>n = 239</m:t>
        </m:r>
      </m:oMath>
      <w:r w:rsidR="00BF066C" w:rsidRPr="00F02B9C">
        <w:t xml:space="preserve"> observaciones mensuales, de manera que las últimas </w:t>
      </w:r>
      <m:oMath>
        <m:r>
          <w:rPr>
            <w:rFonts w:ascii="Cambria Math" w:hAnsi="Cambria Math"/>
          </w:rPr>
          <m:t>m = 12</m:t>
        </m:r>
      </m:oMath>
      <w:r w:rsidR="00BF066C" w:rsidRPr="00F02B9C">
        <w:t xml:space="preserve"> van a ser consideradas para el periodo </w:t>
      </w:r>
      <w:r w:rsidR="00BF066C" w:rsidRPr="00F02B9C">
        <w:rPr>
          <w:i/>
          <w:iCs/>
        </w:rPr>
        <w:t>ex post</w:t>
      </w:r>
      <w:r w:rsidR="00BF066C" w:rsidRPr="00F02B9C">
        <w:t xml:space="preserve"> para poder realizar validación cruzada de los ajustes realizados y poder apoyar el proceso de selección del mejor modelo. En este sentido, primeramente, se presentan la ecuación de los modelos propuestos en la </w:t>
      </w:r>
      <w:r w:rsidR="00BF066C" w:rsidRPr="00F02B9C">
        <w:rPr>
          <w:b/>
          <w:bCs/>
          <w:i/>
          <w:iCs/>
        </w:rPr>
        <w:t xml:space="preserve">tabla </w:t>
      </w:r>
      <w:r w:rsidR="00E70EDB" w:rsidRPr="00F02B9C">
        <w:rPr>
          <w:b/>
          <w:bCs/>
          <w:i/>
          <w:iCs/>
        </w:rPr>
        <w:t>3</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0E4835FB"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693B43"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ARIMA(</w:t>
            </w:r>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48E40" w:rsidR="00E70EDB" w:rsidRPr="00EC0C8C" w:rsidRDefault="00693B43"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693B43"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693B43"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B231A7A" w:rsidR="00EA2BF0" w:rsidRPr="00783054" w:rsidRDefault="00EA2BF0" w:rsidP="00BF4097">
      <w:pPr>
        <w:ind w:firstLine="708"/>
      </w:pPr>
      <w:r>
        <w:t xml:space="preserve">Así, es importante realizar la evaluación de la significancia estadística de los parámetros ajustados para cada uno de los modelos, para lo cual es útil valerse de la </w:t>
      </w:r>
      <w:r w:rsidRPr="002E113A">
        <w:rPr>
          <w:b/>
          <w:bCs/>
          <w:i/>
          <w:iCs/>
        </w:rPr>
        <w:t xml:space="preserve">tabla </w:t>
      </w:r>
      <w:r>
        <w:rPr>
          <w:b/>
          <w:bCs/>
          <w:i/>
          <w:iCs/>
        </w:rPr>
        <w:t>4</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60E98F16" w:rsidR="006C319D" w:rsidRDefault="006C319D">
            <w:pPr>
              <w:jc w:val="center"/>
              <w:rPr>
                <w:b/>
                <w:sz w:val="16"/>
                <w:szCs w:val="16"/>
              </w:rPr>
            </w:pPr>
            <w:r>
              <w:rPr>
                <w:b/>
                <w:sz w:val="16"/>
                <w:szCs w:val="16"/>
              </w:rPr>
              <w:t xml:space="preserve">Tabla </w:t>
            </w:r>
            <w:r w:rsidR="00F71942">
              <w:rPr>
                <w:b/>
                <w:sz w:val="16"/>
                <w:szCs w:val="16"/>
              </w:rPr>
              <w:t>4</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17B066B6" w:rsidR="006C319D" w:rsidRDefault="006C319D">
            <w:pPr>
              <w:jc w:val="center"/>
              <w:rPr>
                <w:sz w:val="14"/>
                <w:szCs w:val="14"/>
              </w:rPr>
            </w:pPr>
            <w:r>
              <w:rPr>
                <w:b/>
                <w:sz w:val="14"/>
                <w:szCs w:val="14"/>
              </w:rPr>
              <w:t xml:space="preserve">Tabla </w:t>
            </w:r>
            <w:r w:rsidR="00EA2BF0">
              <w:rPr>
                <w:b/>
                <w:sz w:val="14"/>
                <w:szCs w:val="14"/>
              </w:rPr>
              <w:t>4</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EC161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5FDF4FB1"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m:t>
                          </m:r>
                          <m:r>
                            <w:rPr>
                              <w:rFonts w:ascii="Cambria Math" w:hAnsi="Cambria Math"/>
                              <w:sz w:val="14"/>
                              <w:szCs w:val="14"/>
                              <w:lang w:val="en-US"/>
                            </w:rPr>
                            <m:t>Z</m:t>
                          </m:r>
                          <m:r>
                            <w:rPr>
                              <w:rFonts w:ascii="Cambria Math" w:hAnsi="Cambria Math"/>
                              <w:sz w:val="14"/>
                              <w:szCs w:val="14"/>
                              <w:lang w:val="en-US"/>
                            </w:rPr>
                            <m:t>|</m:t>
                          </m:r>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693B43">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pPr>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pPr>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693B43">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pPr>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pPr>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pPr>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693B43">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pPr>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pPr>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pPr>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693B43">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pPr>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pPr>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pPr>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pPr>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0119DA16" w:rsidR="006C319D" w:rsidRDefault="006C319D">
            <w:pPr>
              <w:jc w:val="center"/>
              <w:rPr>
                <w:sz w:val="14"/>
                <w:szCs w:val="14"/>
              </w:rPr>
            </w:pPr>
            <w:r>
              <w:rPr>
                <w:b/>
                <w:sz w:val="14"/>
                <w:szCs w:val="14"/>
              </w:rPr>
              <w:t xml:space="preserve">Tabla </w:t>
            </w:r>
            <w:r w:rsidR="00EA2BF0">
              <w:rPr>
                <w:b/>
                <w:sz w:val="14"/>
                <w:szCs w:val="14"/>
              </w:rPr>
              <w:t>4b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EC1615">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35EF404A"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m:t>
                          </m:r>
                          <m:r>
                            <w:rPr>
                              <w:rFonts w:ascii="Cambria Math" w:hAnsi="Cambria Math"/>
                              <w:sz w:val="14"/>
                              <w:szCs w:val="14"/>
                              <w:lang w:val="en-US"/>
                            </w:rPr>
                            <m:t>Z</m:t>
                          </m:r>
                          <m:r>
                            <w:rPr>
                              <w:rFonts w:ascii="Cambria Math" w:hAnsi="Cambria Math"/>
                              <w:sz w:val="14"/>
                              <w:szCs w:val="14"/>
                              <w:lang w:val="en-US"/>
                            </w:rPr>
                            <m:t>|</m:t>
                          </m:r>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pPr>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pPr>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pPr>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pPr>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pPr>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pPr>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pPr>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pPr>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pPr>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pPr>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pPr>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pPr>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pPr>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pPr>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pPr>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pPr>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pPr>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pPr>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pPr>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pPr>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pPr>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pPr>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pPr>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693B43">
                  <w:pPr>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pPr>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pPr>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pPr>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pPr>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pPr>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4C3FF7E4" w:rsidR="006C319D" w:rsidRDefault="006C319D">
            <w:pPr>
              <w:jc w:val="center"/>
              <w:rPr>
                <w:rFonts w:eastAsiaTheme="minorEastAsia"/>
                <w:b/>
                <w:sz w:val="14"/>
                <w:szCs w:val="14"/>
              </w:rPr>
            </w:pPr>
            <w:r>
              <w:rPr>
                <w:b/>
                <w:sz w:val="14"/>
                <w:szCs w:val="14"/>
              </w:rPr>
              <w:t xml:space="preserve">Tabla </w:t>
            </w:r>
            <w:r w:rsidR="00EA2BF0">
              <w:rPr>
                <w:b/>
                <w:sz w:val="14"/>
                <w:szCs w:val="14"/>
              </w:rPr>
              <w:t>4</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693B43">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1340230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m:t>
                          </m:r>
                          <m:r>
                            <w:rPr>
                              <w:rFonts w:ascii="Cambria Math" w:hAnsi="Cambria Math"/>
                              <w:sz w:val="14"/>
                              <w:szCs w:val="14"/>
                              <w:lang w:val="en-US"/>
                            </w:rPr>
                            <m:t>Z</m:t>
                          </m:r>
                          <m:r>
                            <w:rPr>
                              <w:rFonts w:ascii="Cambria Math" w:hAnsi="Cambria Math"/>
                              <w:sz w:val="14"/>
                              <w:szCs w:val="14"/>
                              <w:lang w:val="en-US"/>
                            </w:rPr>
                            <m:t>|</m:t>
                          </m:r>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pPr>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pPr>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58160165" w:rsidR="006C319D" w:rsidRDefault="006C319D">
            <w:pPr>
              <w:jc w:val="center"/>
              <w:rPr>
                <w:rFonts w:eastAsiaTheme="minorEastAsia"/>
                <w:b/>
                <w:sz w:val="14"/>
                <w:szCs w:val="14"/>
              </w:rPr>
            </w:pPr>
            <w:r>
              <w:rPr>
                <w:b/>
                <w:sz w:val="14"/>
                <w:szCs w:val="14"/>
              </w:rPr>
              <w:t xml:space="preserve">Tabla </w:t>
            </w:r>
            <w:r w:rsidR="00C22B60">
              <w:rPr>
                <w:b/>
                <w:sz w:val="14"/>
                <w:szCs w:val="14"/>
              </w:rPr>
              <w:t>4</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EC1615">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38D69A6F"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m:t>
                          </m:r>
                          <m:r>
                            <w:rPr>
                              <w:rFonts w:ascii="Cambria Math" w:hAnsi="Cambria Math"/>
                              <w:sz w:val="14"/>
                              <w:szCs w:val="14"/>
                              <w:lang w:val="en-US"/>
                            </w:rPr>
                            <m:t>Z</m:t>
                          </m:r>
                          <m:r>
                            <w:rPr>
                              <w:rFonts w:ascii="Cambria Math" w:hAnsi="Cambria Math"/>
                              <w:sz w:val="14"/>
                              <w:szCs w:val="14"/>
                              <w:lang w:val="en-US"/>
                            </w:rPr>
                            <m:t>|</m:t>
                          </m:r>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pPr>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pPr>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pPr>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pPr>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pPr>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pPr>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pPr>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pPr>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pPr>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pPr>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pPr>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pPr>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pPr>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pPr>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pPr>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693B43">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pPr>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pPr>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pPr>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pPr>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pPr>
              <w:rPr>
                <w:b/>
                <w:sz w:val="14"/>
                <w:szCs w:val="14"/>
                <w:lang w:val="pt-BR"/>
              </w:rPr>
            </w:pPr>
          </w:p>
        </w:tc>
      </w:tr>
    </w:tbl>
    <w:p w14:paraId="5C1725DC" w14:textId="0DFC797B" w:rsidR="006C319D" w:rsidRDefault="006C319D" w:rsidP="006C319D">
      <w:pPr>
        <w:pStyle w:val="Prrafodelista"/>
        <w:tabs>
          <w:tab w:val="left" w:pos="567"/>
        </w:tabs>
        <w:spacing w:line="240" w:lineRule="auto"/>
        <w:rPr>
          <w:b/>
          <w:bCs/>
        </w:rPr>
      </w:pPr>
    </w:p>
    <w:p w14:paraId="29CD15D1" w14:textId="55117BAA" w:rsidR="00990DEB" w:rsidRDefault="00BF4097" w:rsidP="00BF4097">
      <w:pPr>
        <w:rPr>
          <w:iCs/>
        </w:rPr>
      </w:pPr>
      <w:r>
        <w:lastRenderedPageBreak/>
        <w:tab/>
      </w:r>
      <w:r w:rsidRPr="00CE6A79">
        <w:t xml:space="preserve">Entonces, teniendo en cuenta los valores </w:t>
      </w:r>
      <w:r w:rsidRPr="00CE6A79">
        <w:rPr>
          <w:i/>
          <w:iCs/>
        </w:rPr>
        <w:t>p</w:t>
      </w:r>
      <w:r w:rsidRPr="00CE6A79">
        <w:t xml:space="preserve"> mostrados en 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una significancia de 5%, </w:t>
      </w:r>
      <w:r w:rsidRPr="00BF4097">
        <w:t xml:space="preserve">en el </w:t>
      </w:r>
      <w:r w:rsidR="00546B01">
        <w:t>modelo 1</w:t>
      </w:r>
      <w:r w:rsidRPr="00BF4097">
        <w:t>,</w:t>
      </w:r>
      <w:r w:rsidR="00546B01">
        <w:t xml:space="preserve"> todos 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en el modelo 2,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en el modelo 3,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 xml:space="preserve">son no significativos y por último en el modelo 4,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p>
    <w:p w14:paraId="1AC1FDCE" w14:textId="1F328188" w:rsidR="00CD4CEC" w:rsidRDefault="00CD4CEC" w:rsidP="00BF4097">
      <w:pPr>
        <w:rPr>
          <w:iCs/>
        </w:rPr>
      </w:pPr>
    </w:p>
    <w:p w14:paraId="7B0094AE" w14:textId="60F2162F" w:rsidR="00CD4CEC" w:rsidRDefault="00CD4CEC" w:rsidP="00CD4CEC">
      <w:pPr>
        <w:ind w:firstLine="708"/>
      </w:pPr>
      <w:r>
        <w:t xml:space="preserve">Por otro lado, vale la pena observar la </w:t>
      </w:r>
      <w:r>
        <w:rPr>
          <w:b/>
          <w:bCs/>
          <w:i/>
          <w:iCs/>
        </w:rPr>
        <w:t xml:space="preserve">figura </w:t>
      </w:r>
      <w:r>
        <w:rPr>
          <w:b/>
          <w:bCs/>
          <w:i/>
          <w:iCs/>
        </w:rPr>
        <w:t>7</w:t>
      </w:r>
      <w:r>
        <w:t xml:space="preserve">, en la cual se observa cómo es el ajuste de cada uno de los modelos comparado con la serie temporal. </w:t>
      </w:r>
      <w:r w:rsidRPr="00100521">
        <w:t>De las gráficas de ajuste se observa que al modelar</w:t>
      </w:r>
      <w:r>
        <w:t xml:space="preserve"> log(</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se logra seguir la componente cíclica en todos los modelos SARIMA</w:t>
      </w:r>
      <w:r w:rsidR="00F37533">
        <w:t>,</w:t>
      </w:r>
      <w:r w:rsidRPr="00100521">
        <w:t xml:space="preserve"> gráficamente no se logra identificar cuál modelo tiene mejor ajuste porque todas parecen tener el mismo patrón, además se puede observar la presencia de datos atípicos que no se logran explicar por ningún modelo, esto debido que son observaciones que se comportan diferente, sin embargo, según las medidas de ajuste AIC y BIC, los modelos con mejor ajuste son el modelo</w:t>
      </w:r>
      <w:r w:rsidR="00F37533">
        <w:t xml:space="preserve"> 1 ARIMA(2,1,0)(0,1,2)[12] y el modelo 4 ARIMA(9,1,10)(0,1,1)[12], siendo mejor el modelo 1 que tiene menor AIC y BIC</w:t>
      </w:r>
      <w:r w:rsidRPr="00100521">
        <w:t>.</w:t>
      </w:r>
    </w:p>
    <w:p w14:paraId="6054DBAF" w14:textId="77777777" w:rsidR="00CD4CEC" w:rsidRDefault="00CD4CEC" w:rsidP="00CD4CEC">
      <w:pPr>
        <w:ind w:firstLine="708"/>
      </w:pPr>
    </w:p>
    <w:tbl>
      <w:tblPr>
        <w:tblStyle w:val="Tablaconcuadrcula"/>
        <w:tblW w:w="0" w:type="auto"/>
        <w:tblLook w:val="04A0" w:firstRow="1" w:lastRow="0" w:firstColumn="1" w:lastColumn="0" w:noHBand="0" w:noVBand="1"/>
      </w:tblPr>
      <w:tblGrid>
        <w:gridCol w:w="5395"/>
        <w:gridCol w:w="5395"/>
      </w:tblGrid>
      <w:tr w:rsidR="00CD4CEC" w14:paraId="407C1C3A" w14:textId="77777777" w:rsidTr="001E1784">
        <w:tc>
          <w:tcPr>
            <w:tcW w:w="5395" w:type="dxa"/>
            <w:tcBorders>
              <w:top w:val="single" w:sz="4" w:space="0" w:color="FFFFFF"/>
              <w:left w:val="single" w:sz="4" w:space="0" w:color="FFFFFF"/>
              <w:bottom w:val="single" w:sz="4" w:space="0" w:color="FFFFFF"/>
              <w:right w:val="single" w:sz="4" w:space="0" w:color="FFFFFF"/>
            </w:tcBorders>
          </w:tcPr>
          <w:p w14:paraId="3F7C85F9" w14:textId="77777777" w:rsidR="00B93D5D" w:rsidRDefault="00B93D5D" w:rsidP="001E1784">
            <w:pPr>
              <w:jc w:val="center"/>
              <w:rPr>
                <w:b/>
                <w:bCs/>
                <w:sz w:val="14"/>
                <w:szCs w:val="14"/>
              </w:rPr>
            </w:pPr>
            <w:r>
              <w:rPr>
                <w:b/>
                <w:bCs/>
                <w:noProof/>
                <w:sz w:val="14"/>
                <w:szCs w:val="14"/>
              </w:rPr>
              <w:drawing>
                <wp:inline distT="0" distB="0" distL="0" distR="0" wp14:anchorId="49130AAC" wp14:editId="0819F661">
                  <wp:extent cx="1800000" cy="1800000"/>
                  <wp:effectExtent l="0" t="0" r="0" b="0"/>
                  <wp:docPr id="9" name="Imagen 9"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 Gráfico de dispersión&#10;&#10;Descripción generada automáticamente"/>
                          <pic:cNvPicPr preferRelativeResize="0"/>
                        </pic:nvPicPr>
                        <pic:blipFill>
                          <a:blip r:embed="rId3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27CA7CF" w14:textId="2B3C32FB" w:rsidR="00CD4CEC" w:rsidRPr="003E6594" w:rsidRDefault="00CD4CEC" w:rsidP="001E1784">
            <w:pPr>
              <w:jc w:val="center"/>
              <w:rPr>
                <w:b/>
                <w:bCs/>
                <w:sz w:val="14"/>
                <w:szCs w:val="14"/>
              </w:rPr>
            </w:pPr>
            <w:r w:rsidRPr="003E6594">
              <w:rPr>
                <w:b/>
                <w:bCs/>
                <w:sz w:val="14"/>
                <w:szCs w:val="14"/>
              </w:rPr>
              <w:t>(a)</w:t>
            </w:r>
          </w:p>
        </w:tc>
        <w:tc>
          <w:tcPr>
            <w:tcW w:w="5395" w:type="dxa"/>
            <w:tcBorders>
              <w:top w:val="single" w:sz="4" w:space="0" w:color="FFFFFF"/>
              <w:left w:val="single" w:sz="4" w:space="0" w:color="FFFFFF"/>
              <w:bottom w:val="single" w:sz="4" w:space="0" w:color="FFFFFF"/>
              <w:right w:val="single" w:sz="4" w:space="0" w:color="FFFFFF"/>
            </w:tcBorders>
          </w:tcPr>
          <w:p w14:paraId="7AA8C19B" w14:textId="77777777" w:rsidR="00B93D5D" w:rsidRDefault="00B93D5D" w:rsidP="001E1784">
            <w:pPr>
              <w:jc w:val="center"/>
              <w:rPr>
                <w:b/>
                <w:bCs/>
                <w:sz w:val="14"/>
                <w:szCs w:val="14"/>
              </w:rPr>
            </w:pPr>
            <w:r>
              <w:rPr>
                <w:b/>
                <w:bCs/>
                <w:noProof/>
                <w:sz w:val="14"/>
                <w:szCs w:val="14"/>
              </w:rPr>
              <w:drawing>
                <wp:inline distT="0" distB="0" distL="0" distR="0" wp14:anchorId="74CD7A76" wp14:editId="6A9012E6">
                  <wp:extent cx="1800000" cy="1800000"/>
                  <wp:effectExtent l="0" t="0" r="0" b="0"/>
                  <wp:docPr id="12" name="Imagen 12"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 Gráfico de dispersión&#10;&#10;Descripción generada automáticamente"/>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33E84DE" w14:textId="3431EEF3" w:rsidR="00CD4CEC" w:rsidRPr="003E6594" w:rsidRDefault="00CD4CEC" w:rsidP="001E1784">
            <w:pPr>
              <w:jc w:val="center"/>
              <w:rPr>
                <w:b/>
                <w:bCs/>
                <w:sz w:val="14"/>
                <w:szCs w:val="14"/>
              </w:rPr>
            </w:pPr>
            <w:r w:rsidRPr="003E6594">
              <w:rPr>
                <w:b/>
                <w:bCs/>
                <w:sz w:val="14"/>
                <w:szCs w:val="14"/>
              </w:rPr>
              <w:t>(b)</w:t>
            </w:r>
          </w:p>
        </w:tc>
      </w:tr>
      <w:tr w:rsidR="00CD4CEC" w14:paraId="3B19644B" w14:textId="77777777" w:rsidTr="001E1784">
        <w:tc>
          <w:tcPr>
            <w:tcW w:w="5395" w:type="dxa"/>
            <w:tcBorders>
              <w:top w:val="single" w:sz="4" w:space="0" w:color="FFFFFF"/>
              <w:left w:val="single" w:sz="4" w:space="0" w:color="FFFFFF"/>
              <w:bottom w:val="single" w:sz="4" w:space="0" w:color="FFFFFF"/>
              <w:right w:val="single" w:sz="4" w:space="0" w:color="FFFFFF"/>
            </w:tcBorders>
          </w:tcPr>
          <w:p w14:paraId="0C617199" w14:textId="77777777" w:rsidR="00B93D5D" w:rsidRDefault="00B93D5D" w:rsidP="001E1784">
            <w:pPr>
              <w:jc w:val="center"/>
              <w:rPr>
                <w:b/>
                <w:bCs/>
                <w:sz w:val="14"/>
                <w:szCs w:val="14"/>
              </w:rPr>
            </w:pPr>
            <w:r>
              <w:rPr>
                <w:b/>
                <w:bCs/>
                <w:noProof/>
                <w:sz w:val="14"/>
                <w:szCs w:val="14"/>
              </w:rPr>
              <w:drawing>
                <wp:inline distT="0" distB="0" distL="0" distR="0" wp14:anchorId="3D1747DF" wp14:editId="25C510C6">
                  <wp:extent cx="1800000" cy="1800000"/>
                  <wp:effectExtent l="0" t="0" r="0" b="0"/>
                  <wp:docPr id="14" name="Imagen 14"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 Gráfico de dispersión&#10;&#10;Descripción generada automáticamente"/>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453C657" w14:textId="588BF5CC" w:rsidR="00CD4CEC" w:rsidRPr="003E6594" w:rsidRDefault="00CD4CEC" w:rsidP="001E1784">
            <w:pPr>
              <w:jc w:val="center"/>
              <w:rPr>
                <w:b/>
                <w:bCs/>
                <w:sz w:val="14"/>
                <w:szCs w:val="14"/>
              </w:rPr>
            </w:pPr>
            <w:r w:rsidRPr="003E6594">
              <w:rPr>
                <w:b/>
                <w:bCs/>
                <w:sz w:val="14"/>
                <w:szCs w:val="14"/>
              </w:rPr>
              <w:t>(c)</w:t>
            </w:r>
          </w:p>
        </w:tc>
        <w:tc>
          <w:tcPr>
            <w:tcW w:w="5395" w:type="dxa"/>
            <w:tcBorders>
              <w:top w:val="single" w:sz="4" w:space="0" w:color="FFFFFF"/>
              <w:left w:val="single" w:sz="4" w:space="0" w:color="FFFFFF"/>
              <w:bottom w:val="single" w:sz="4" w:space="0" w:color="FFFFFF"/>
              <w:right w:val="single" w:sz="4" w:space="0" w:color="FFFFFF"/>
            </w:tcBorders>
          </w:tcPr>
          <w:p w14:paraId="2054479B" w14:textId="77777777" w:rsidR="00B93D5D" w:rsidRDefault="00B93D5D" w:rsidP="001E1784">
            <w:pPr>
              <w:jc w:val="center"/>
              <w:rPr>
                <w:b/>
                <w:bCs/>
                <w:sz w:val="14"/>
                <w:szCs w:val="14"/>
              </w:rPr>
            </w:pPr>
            <w:r>
              <w:rPr>
                <w:b/>
                <w:bCs/>
                <w:noProof/>
                <w:sz w:val="14"/>
                <w:szCs w:val="14"/>
              </w:rPr>
              <w:drawing>
                <wp:inline distT="0" distB="0" distL="0" distR="0" wp14:anchorId="2DF6A0EB" wp14:editId="4EBB3D63">
                  <wp:extent cx="1800000" cy="1800000"/>
                  <wp:effectExtent l="0" t="0" r="0" b="0"/>
                  <wp:docPr id="16" name="Imagen 16" descr="Gráfico, Gráfico de líneas,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 Gráfico de dispersión&#10;&#10;Descripción generada automáticamente"/>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CECFFAD" w14:textId="002ED955" w:rsidR="00CD4CEC" w:rsidRPr="003E6594" w:rsidRDefault="00CD4CEC" w:rsidP="001E1784">
            <w:pPr>
              <w:jc w:val="center"/>
              <w:rPr>
                <w:b/>
                <w:bCs/>
                <w:sz w:val="14"/>
                <w:szCs w:val="14"/>
              </w:rPr>
            </w:pPr>
            <w:r w:rsidRPr="003E6594">
              <w:rPr>
                <w:b/>
                <w:bCs/>
                <w:sz w:val="14"/>
                <w:szCs w:val="14"/>
              </w:rPr>
              <w:t>(d)</w:t>
            </w:r>
          </w:p>
        </w:tc>
      </w:tr>
    </w:tbl>
    <w:p w14:paraId="58295FEB" w14:textId="0F3F5BD7" w:rsidR="00CD4CEC" w:rsidRPr="00C45CA1" w:rsidRDefault="00CD4CEC" w:rsidP="00CD4CEC">
      <w:pPr>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odelo uno: AR</w:t>
      </w:r>
      <w:r w:rsidR="00044FF1">
        <w:rPr>
          <w:bCs/>
          <w:sz w:val="16"/>
          <w:szCs w:val="16"/>
        </w:rPr>
        <w:t>IMA</w:t>
      </w:r>
      <w:r>
        <w:rPr>
          <w:bCs/>
          <w:sz w:val="16"/>
          <w:szCs w:val="16"/>
        </w:rPr>
        <w:t>(</w:t>
      </w:r>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p w14:paraId="6FA012FF" w14:textId="100879C7" w:rsidR="00CD4CEC" w:rsidRDefault="00CD4CEC" w:rsidP="00BF4097">
      <w:pPr>
        <w:rPr>
          <w:b/>
          <w:bCs/>
        </w:rPr>
      </w:pPr>
    </w:p>
    <w:p w14:paraId="303473BA" w14:textId="37E7615A" w:rsidR="00C37549" w:rsidRDefault="00C37549" w:rsidP="00C37549">
      <w:pPr>
        <w:pStyle w:val="Prrafodelista"/>
        <w:numPr>
          <w:ilvl w:val="0"/>
          <w:numId w:val="12"/>
        </w:numPr>
        <w:jc w:val="center"/>
        <w:rPr>
          <w:b/>
          <w:bCs/>
        </w:rPr>
      </w:pPr>
      <w:r>
        <w:rPr>
          <w:b/>
          <w:bCs/>
        </w:rPr>
        <w:t>ANÁLISIS DE RESIDUALES Y VALIDACIÓN DE SUPUESTOS</w:t>
      </w:r>
    </w:p>
    <w:p w14:paraId="428E8B11" w14:textId="7179EF0D" w:rsidR="00C37549" w:rsidRDefault="00C37549" w:rsidP="00C37549">
      <w:pPr>
        <w:pStyle w:val="Prrafodelista"/>
        <w:rPr>
          <w:b/>
          <w:bCs/>
        </w:rPr>
      </w:pPr>
    </w:p>
    <w:p w14:paraId="16045AD7" w14:textId="14244B9F" w:rsidR="00205503" w:rsidRDefault="00205503" w:rsidP="00205503">
      <w:pPr>
        <w:ind w:firstLine="708"/>
        <w:rPr>
          <w:bCs/>
        </w:rPr>
      </w:pPr>
      <w:r>
        <w:rPr>
          <w:bCs/>
        </w:rPr>
        <w:t>A</w:t>
      </w:r>
      <w:r w:rsidRPr="00126836">
        <w:rPr>
          <w:bCs/>
        </w:rPr>
        <w:t xml:space="preserve">hora bien, se debe tener en cuenta que para el planteamiento de cada uno de los modelos se partieron de varios supuestos sobre los errores de ajuste </w:t>
      </w:r>
      <m:oMath>
        <m:sSub>
          <m:sSubPr>
            <m:ctrlPr>
              <w:rPr>
                <w:rFonts w:ascii="Cambria Math" w:hAnsi="Cambria Math"/>
                <w:bCs/>
                <w:i/>
              </w:rPr>
            </m:ctrlPr>
          </m:sSubPr>
          <m:e>
            <m:r>
              <w:rPr>
                <w:rFonts w:ascii="Cambria Math" w:hAnsi="Cambria Math"/>
              </w:rPr>
              <m:t>a</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errores no son conocidos, para poder validar los supuestos se </w:t>
      </w:r>
      <w:r>
        <w:rPr>
          <w:bCs/>
        </w:rPr>
        <w:t xml:space="preserve">va a realizar esta revisión mediante los residuales, que son los estimadores de estos errores de ajuste, para lo cual se tiene la </w:t>
      </w:r>
      <w:r>
        <w:rPr>
          <w:b/>
          <w:i/>
          <w:iCs/>
        </w:rPr>
        <w:t xml:space="preserve">figura </w:t>
      </w:r>
      <w:r>
        <w:rPr>
          <w:b/>
          <w:i/>
          <w:iCs/>
        </w:rPr>
        <w:t>8</w:t>
      </w:r>
      <w:r>
        <w:rPr>
          <w:b/>
          <w:i/>
          <w:iCs/>
        </w:rPr>
        <w:t xml:space="preserve">, </w:t>
      </w:r>
      <w:r>
        <w:rPr>
          <w:bCs/>
        </w:rPr>
        <w:t xml:space="preserve">en la que se pueden visualizar a los residuales contra el tiempo, y en la </w:t>
      </w:r>
      <w:r>
        <w:rPr>
          <w:b/>
          <w:i/>
          <w:iCs/>
        </w:rPr>
        <w:t xml:space="preserve">figura 13, </w:t>
      </w:r>
      <w:r>
        <w:rPr>
          <w:bCs/>
        </w:rPr>
        <w:t>los residuales contra los valores ajustados de cada modelo.</w:t>
      </w:r>
    </w:p>
    <w:p w14:paraId="401DB63C" w14:textId="77777777" w:rsidR="00205503" w:rsidRDefault="00205503" w:rsidP="00205503">
      <w:pPr>
        <w:ind w:firstLine="708"/>
      </w:pPr>
    </w:p>
    <w:p w14:paraId="4EE4E440" w14:textId="77777777" w:rsidR="00205503" w:rsidRPr="00372F00" w:rsidRDefault="00205503" w:rsidP="00205503">
      <w:pPr>
        <w:ind w:firstLine="708"/>
        <w:rPr>
          <w:bCs/>
        </w:rPr>
      </w:pPr>
      <w:r>
        <w:rPr>
          <w:bCs/>
        </w:rPr>
        <w:lastRenderedPageBreak/>
        <w:t>Así pues, vale la pena comenzar evaluando si se cumple el supuesto de media cero y varianza constante para cada modelo, y al revisar cada uno de los gráficos se valida que ninguna aporta evidencia en contra de los supuestos de homocedasticidad y media constante en cero, y tampoco se detecta que hayan patrones contrarios a la independencia mediante estos gráficos como ciclos o rachas de signos positivos y negativos.</w:t>
      </w:r>
    </w:p>
    <w:p w14:paraId="6DD4CACB" w14:textId="77777777" w:rsidR="00C37549" w:rsidRPr="00C37549" w:rsidRDefault="00C37549" w:rsidP="00C37549">
      <w:pPr>
        <w:pStyle w:val="Prrafodelista"/>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0E06" w14:textId="77777777" w:rsidR="00693B43" w:rsidRDefault="00693B43"/>
  </w:endnote>
  <w:endnote w:type="continuationSeparator" w:id="0">
    <w:p w14:paraId="79D71678" w14:textId="77777777" w:rsidR="00693B43" w:rsidRDefault="00693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3B29" w14:textId="77777777" w:rsidR="00693B43" w:rsidRDefault="00693B43">
      <w:r>
        <w:separator/>
      </w:r>
    </w:p>
  </w:footnote>
  <w:footnote w:type="continuationSeparator" w:id="0">
    <w:p w14:paraId="4336E29C" w14:textId="77777777" w:rsidR="00693B43" w:rsidRDefault="00693B43">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44FF1"/>
    <w:rsid w:val="00066048"/>
    <w:rsid w:val="00067F9B"/>
    <w:rsid w:val="00076FEE"/>
    <w:rsid w:val="00080554"/>
    <w:rsid w:val="000B6FAC"/>
    <w:rsid w:val="000B7BE9"/>
    <w:rsid w:val="000D25C8"/>
    <w:rsid w:val="000D61DD"/>
    <w:rsid w:val="000F01B0"/>
    <w:rsid w:val="001001ED"/>
    <w:rsid w:val="00113B0D"/>
    <w:rsid w:val="00114E6C"/>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05503"/>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2F39"/>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3F3D"/>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67234"/>
    <w:rsid w:val="00472664"/>
    <w:rsid w:val="004730BA"/>
    <w:rsid w:val="004768C0"/>
    <w:rsid w:val="0048110F"/>
    <w:rsid w:val="004829A4"/>
    <w:rsid w:val="004972BF"/>
    <w:rsid w:val="004A1BF1"/>
    <w:rsid w:val="004A30DE"/>
    <w:rsid w:val="004A6755"/>
    <w:rsid w:val="004B530E"/>
    <w:rsid w:val="004C2319"/>
    <w:rsid w:val="004C2B8A"/>
    <w:rsid w:val="004D01D3"/>
    <w:rsid w:val="004D1F2F"/>
    <w:rsid w:val="004E3897"/>
    <w:rsid w:val="004F4DCE"/>
    <w:rsid w:val="005015F8"/>
    <w:rsid w:val="00503F0C"/>
    <w:rsid w:val="005040E9"/>
    <w:rsid w:val="005218B0"/>
    <w:rsid w:val="00523AA5"/>
    <w:rsid w:val="0052417A"/>
    <w:rsid w:val="0053017A"/>
    <w:rsid w:val="00532456"/>
    <w:rsid w:val="005328CD"/>
    <w:rsid w:val="00546B01"/>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D2C8B"/>
    <w:rsid w:val="005F24D7"/>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606A3"/>
    <w:rsid w:val="00674853"/>
    <w:rsid w:val="00675FAE"/>
    <w:rsid w:val="006832F1"/>
    <w:rsid w:val="00684274"/>
    <w:rsid w:val="00693B43"/>
    <w:rsid w:val="00695F16"/>
    <w:rsid w:val="006977EF"/>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14F3"/>
    <w:rsid w:val="007C343F"/>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7C47"/>
    <w:rsid w:val="00877FBD"/>
    <w:rsid w:val="008824C7"/>
    <w:rsid w:val="008850C5"/>
    <w:rsid w:val="00896CFC"/>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1EA5"/>
    <w:rsid w:val="00954DF3"/>
    <w:rsid w:val="00961651"/>
    <w:rsid w:val="0096488B"/>
    <w:rsid w:val="00967AF2"/>
    <w:rsid w:val="009852A9"/>
    <w:rsid w:val="0099011F"/>
    <w:rsid w:val="00990DEB"/>
    <w:rsid w:val="00993AFB"/>
    <w:rsid w:val="009A08F0"/>
    <w:rsid w:val="009A6078"/>
    <w:rsid w:val="009B5C47"/>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1A98"/>
    <w:rsid w:val="00AD5ED7"/>
    <w:rsid w:val="00AE0382"/>
    <w:rsid w:val="00AE0E38"/>
    <w:rsid w:val="00AE17F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3D5D"/>
    <w:rsid w:val="00B9661E"/>
    <w:rsid w:val="00BA6D3D"/>
    <w:rsid w:val="00BB3601"/>
    <w:rsid w:val="00BC5467"/>
    <w:rsid w:val="00BD1CBE"/>
    <w:rsid w:val="00BE1DA5"/>
    <w:rsid w:val="00BE4A07"/>
    <w:rsid w:val="00BF066C"/>
    <w:rsid w:val="00BF2FC5"/>
    <w:rsid w:val="00BF4097"/>
    <w:rsid w:val="00BF50DE"/>
    <w:rsid w:val="00C02DA4"/>
    <w:rsid w:val="00C03AF1"/>
    <w:rsid w:val="00C05865"/>
    <w:rsid w:val="00C07E77"/>
    <w:rsid w:val="00C22B60"/>
    <w:rsid w:val="00C22FEC"/>
    <w:rsid w:val="00C26338"/>
    <w:rsid w:val="00C324EB"/>
    <w:rsid w:val="00C3425A"/>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0EDB"/>
    <w:rsid w:val="00E72224"/>
    <w:rsid w:val="00E762D3"/>
    <w:rsid w:val="00E83FD6"/>
    <w:rsid w:val="00E87875"/>
    <w:rsid w:val="00EA2BF0"/>
    <w:rsid w:val="00EA3C87"/>
    <w:rsid w:val="00EA4BC0"/>
    <w:rsid w:val="00EA6F37"/>
    <w:rsid w:val="00EB31B3"/>
    <w:rsid w:val="00EB51F4"/>
    <w:rsid w:val="00EC0C8C"/>
    <w:rsid w:val="00EC1615"/>
    <w:rsid w:val="00EC4BE0"/>
    <w:rsid w:val="00ED6410"/>
    <w:rsid w:val="00EF01BE"/>
    <w:rsid w:val="00EF23B8"/>
    <w:rsid w:val="00EF4AEE"/>
    <w:rsid w:val="00EF4D8A"/>
    <w:rsid w:val="00F012BB"/>
    <w:rsid w:val="00F02B9C"/>
    <w:rsid w:val="00F07A63"/>
    <w:rsid w:val="00F10278"/>
    <w:rsid w:val="00F14064"/>
    <w:rsid w:val="00F15F60"/>
    <w:rsid w:val="00F24205"/>
    <w:rsid w:val="00F34E0E"/>
    <w:rsid w:val="00F35BA2"/>
    <w:rsid w:val="00F37533"/>
    <w:rsid w:val="00F53B67"/>
    <w:rsid w:val="00F617AB"/>
    <w:rsid w:val="00F71942"/>
    <w:rsid w:val="00F74990"/>
    <w:rsid w:val="00F869BF"/>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296</TotalTime>
  <Pages>8</Pages>
  <Words>4428</Words>
  <Characters>24359</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28730</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23</cp:revision>
  <cp:lastPrinted>2022-06-12T17:10:00Z</cp:lastPrinted>
  <dcterms:created xsi:type="dcterms:W3CDTF">2022-06-12T17:09:00Z</dcterms:created>
  <dcterms:modified xsi:type="dcterms:W3CDTF">2022-06-16T19:44:00Z</dcterms:modified>
</cp:coreProperties>
</file>