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FootnoteText"/>
        <w:spacing w:line="240" w:lineRule="auto"/>
      </w:pPr>
      <w:r w:rsidRPr="003C13BB">
        <w:t>Equipo</w:t>
      </w:r>
      <w:r w:rsidR="00DA3FA6" w:rsidRPr="003C13BB">
        <w:t xml:space="preserve"> de Trabajo </w:t>
      </w:r>
      <w:proofErr w:type="gramStart"/>
      <w:r w:rsidR="00DA3FA6" w:rsidRPr="003C13BB">
        <w:t xml:space="preserve">No.  </w:t>
      </w:r>
      <w:r w:rsidR="00DF0336">
        <w:t>2</w:t>
      </w:r>
      <w:proofErr w:type="gramEnd"/>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 xml:space="preserve">del sector </w:t>
      </w:r>
      <w:proofErr w:type="spellStart"/>
      <w:r w:rsidR="00877FBD">
        <w:rPr>
          <w:b/>
          <w:bCs/>
          <w:i/>
        </w:rPr>
        <w:t>manuacturero</w:t>
      </w:r>
      <w:proofErr w:type="spellEnd"/>
      <w:r w:rsidR="00877FBD">
        <w:rPr>
          <w:b/>
          <w:bCs/>
          <w:i/>
        </w:rPr>
        <w:t xml:space="preserve">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43392"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544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CommentReference"/>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1"/>
      <w:r w:rsidR="007C14F3">
        <w:rPr>
          <w:b/>
          <w:bCs/>
          <w:iCs/>
        </w:rPr>
        <w:t>¿estacionalidad global?</w:t>
      </w:r>
      <w:commentRangeEnd w:id="1"/>
      <w:r w:rsidR="00F53B67">
        <w:rPr>
          <w:rStyle w:val="CommentReference"/>
        </w:rPr>
        <w:commentReference w:id="1"/>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40320" behindDoc="0" locked="0" layoutInCell="1" allowOverlap="1" wp14:anchorId="09C9111E" wp14:editId="32F6E064">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2368"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8512"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19025797" w:rsidR="00A02812" w:rsidRPr="009A08F0" w:rsidRDefault="002C564D" w:rsidP="009A08F0">
            <w:pPr>
              <w:autoSpaceDE w:val="0"/>
              <w:autoSpaceDN w:val="0"/>
              <w:adjustRightInd w:val="0"/>
              <w:spacing w:line="240" w:lineRule="auto"/>
              <w:jc w:val="center"/>
              <w:rPr>
                <w:b/>
                <w:bCs/>
                <w:iCs/>
                <w:sz w:val="14"/>
                <w:szCs w:val="14"/>
              </w:rPr>
            </w:pPr>
            <w:r>
              <w:rPr>
                <w:b/>
                <w:bCs/>
                <w:iCs/>
                <w:noProof/>
                <w:sz w:val="14"/>
                <w:szCs w:val="14"/>
              </w:rPr>
              <mc:AlternateContent>
                <mc:Choice Requires="aink">
                  <w:drawing>
                    <wp:anchor distT="0" distB="0" distL="114300" distR="114300" simplePos="0" relativeHeight="251657728" behindDoc="0" locked="0" layoutInCell="1" allowOverlap="1" wp14:anchorId="09E70C55" wp14:editId="7BD5939E">
                      <wp:simplePos x="0" y="0"/>
                      <wp:positionH relativeFrom="column">
                        <wp:posOffset>541790</wp:posOffset>
                      </wp:positionH>
                      <wp:positionV relativeFrom="paragraph">
                        <wp:posOffset>678960</wp:posOffset>
                      </wp:positionV>
                      <wp:extent cx="299880" cy="305280"/>
                      <wp:effectExtent l="57150" t="57150" r="0" b="38100"/>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299880" cy="305280"/>
                            </w14:xfrm>
                          </w14:contentPart>
                        </a:graphicData>
                      </a:graphic>
                    </wp:anchor>
                  </w:drawing>
                </mc:Choice>
                <mc:Fallback>
                  <w:drawing>
                    <wp:anchor distT="0" distB="0" distL="114300" distR="114300" simplePos="0" relativeHeight="251657728" behindDoc="0" locked="0" layoutInCell="1" allowOverlap="1" wp14:anchorId="09E70C55" wp14:editId="7BD5939E">
                      <wp:simplePos x="0" y="0"/>
                      <wp:positionH relativeFrom="column">
                        <wp:posOffset>541790</wp:posOffset>
                      </wp:positionH>
                      <wp:positionV relativeFrom="paragraph">
                        <wp:posOffset>678960</wp:posOffset>
                      </wp:positionV>
                      <wp:extent cx="299880" cy="305280"/>
                      <wp:effectExtent l="57150" t="57150" r="0" b="38100"/>
                      <wp:wrapNone/>
                      <wp:docPr id="14" name="Ink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nk 14"/>
                              <pic:cNvPicPr>
                                <a:picLocks noRot="1"/>
                              </pic:cNvPicPr>
                            </pic:nvPicPr>
                            <pic:blipFill>
                              <a:blip r:embed="rId18"/>
                              <a:stretch>
                                <a:fillRect/>
                              </a:stretch>
                            </pic:blipFill>
                            <pic:spPr>
                              <a:xfrm>
                                <a:off x="0" y="0"/>
                                <a:ext cx="335477" cy="521430"/>
                              </a:xfrm>
                              <a:prstGeom prst="rect">
                                <a:avLst/>
                              </a:prstGeom>
                            </pic:spPr>
                          </pic:pic>
                        </a:graphicData>
                      </a:graphic>
                    </wp:anchor>
                  </w:drawing>
                </mc:Fallback>
              </mc:AlternateContent>
            </w:r>
            <w:r>
              <w:rPr>
                <w:b/>
                <w:bCs/>
                <w:iCs/>
                <w:noProof/>
                <w:sz w:val="14"/>
                <w:szCs w:val="14"/>
              </w:rPr>
              <mc:AlternateContent>
                <mc:Choice Requires="aink">
                  <w:drawing>
                    <wp:anchor distT="0" distB="0" distL="114300" distR="114300" simplePos="0" relativeHeight="251656704" behindDoc="0" locked="0" layoutInCell="1" allowOverlap="1" wp14:anchorId="73745871" wp14:editId="4B8D1D97">
                      <wp:simplePos x="0" y="0"/>
                      <wp:positionH relativeFrom="column">
                        <wp:posOffset>320030</wp:posOffset>
                      </wp:positionH>
                      <wp:positionV relativeFrom="paragraph">
                        <wp:posOffset>1072800</wp:posOffset>
                      </wp:positionV>
                      <wp:extent cx="1218600" cy="120960"/>
                      <wp:effectExtent l="38100" t="57150" r="19685" b="31750"/>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218600" cy="120960"/>
                            </w14:xfrm>
                          </w14:contentPart>
                        </a:graphicData>
                      </a:graphic>
                    </wp:anchor>
                  </w:drawing>
                </mc:Choice>
                <mc:Fallback>
                  <w:drawing>
                    <wp:anchor distT="0" distB="0" distL="114300" distR="114300" simplePos="0" relativeHeight="251656704" behindDoc="0" locked="0" layoutInCell="1" allowOverlap="1" wp14:anchorId="73745871" wp14:editId="4B8D1D97">
                      <wp:simplePos x="0" y="0"/>
                      <wp:positionH relativeFrom="column">
                        <wp:posOffset>320030</wp:posOffset>
                      </wp:positionH>
                      <wp:positionV relativeFrom="paragraph">
                        <wp:posOffset>1072800</wp:posOffset>
                      </wp:positionV>
                      <wp:extent cx="1218600" cy="120960"/>
                      <wp:effectExtent l="38100" t="57150" r="19685" b="31750"/>
                      <wp:wrapNone/>
                      <wp:docPr id="12" name="In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k 12"/>
                              <pic:cNvPicPr>
                                <a:picLocks noRot="1"/>
                              </pic:cNvPicPr>
                            </pic:nvPicPr>
                            <pic:blipFill>
                              <a:blip r:embed="rId20"/>
                              <a:stretch>
                                <a:fillRect/>
                              </a:stretch>
                            </pic:blipFill>
                            <pic:spPr>
                              <a:xfrm>
                                <a:off x="0" y="0"/>
                                <a:ext cx="1254251" cy="337891"/>
                              </a:xfrm>
                              <a:prstGeom prst="rect">
                                <a:avLst/>
                              </a:prstGeom>
                            </pic:spPr>
                          </pic:pic>
                        </a:graphicData>
                      </a:graphic>
                    </wp:anchor>
                  </w:drawing>
                </mc:Fallback>
              </mc:AlternateContent>
            </w:r>
            <w:r>
              <w:rPr>
                <w:b/>
                <w:bCs/>
                <w:iCs/>
                <w:noProof/>
                <w:sz w:val="14"/>
                <w:szCs w:val="14"/>
              </w:rPr>
              <mc:AlternateContent>
                <mc:Choice Requires="aink">
                  <w:drawing>
                    <wp:anchor distT="0" distB="0" distL="114300" distR="114300" simplePos="0" relativeHeight="251655680" behindDoc="0" locked="0" layoutInCell="1" allowOverlap="1" wp14:anchorId="360677F7" wp14:editId="7FB51A2B">
                      <wp:simplePos x="0" y="0"/>
                      <wp:positionH relativeFrom="column">
                        <wp:posOffset>326150</wp:posOffset>
                      </wp:positionH>
                      <wp:positionV relativeFrom="paragraph">
                        <wp:posOffset>507600</wp:posOffset>
                      </wp:positionV>
                      <wp:extent cx="1123560" cy="178560"/>
                      <wp:effectExtent l="19050" t="57150" r="19685" b="31115"/>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1123560" cy="178560"/>
                            </w14:xfrm>
                          </w14:contentPart>
                        </a:graphicData>
                      </a:graphic>
                    </wp:anchor>
                  </w:drawing>
                </mc:Choice>
                <mc:Fallback>
                  <w:drawing>
                    <wp:anchor distT="0" distB="0" distL="114300" distR="114300" simplePos="0" relativeHeight="251655680" behindDoc="0" locked="0" layoutInCell="1" allowOverlap="1" wp14:anchorId="360677F7" wp14:editId="7FB51A2B">
                      <wp:simplePos x="0" y="0"/>
                      <wp:positionH relativeFrom="column">
                        <wp:posOffset>326150</wp:posOffset>
                      </wp:positionH>
                      <wp:positionV relativeFrom="paragraph">
                        <wp:posOffset>507600</wp:posOffset>
                      </wp:positionV>
                      <wp:extent cx="1123560" cy="178560"/>
                      <wp:effectExtent l="19050" t="57150" r="19685" b="31115"/>
                      <wp:wrapNone/>
                      <wp:docPr id="9" name="In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k 9"/>
                              <pic:cNvPicPr>
                                <a:picLocks noRot="1"/>
                              </pic:cNvPicPr>
                            </pic:nvPicPr>
                            <pic:blipFill>
                              <a:blip r:embed="rId22"/>
                              <a:stretch>
                                <a:fillRect/>
                              </a:stretch>
                            </pic:blipFill>
                            <pic:spPr>
                              <a:xfrm>
                                <a:off x="0" y="0"/>
                                <a:ext cx="1159200" cy="394200"/>
                              </a:xfrm>
                              <a:prstGeom prst="rect">
                                <a:avLst/>
                              </a:prstGeom>
                            </pic:spPr>
                          </pic:pic>
                        </a:graphicData>
                      </a:graphic>
                    </wp:anchor>
                  </w:drawing>
                </mc:Fallback>
              </mc:AlternateContent>
            </w:r>
            <w:r w:rsidR="009A08F0" w:rsidRPr="009A08F0">
              <w:rPr>
                <w:b/>
                <w:bCs/>
                <w:iCs/>
                <w:noProof/>
                <w:sz w:val="14"/>
                <w:szCs w:val="14"/>
              </w:rPr>
              <w:drawing>
                <wp:anchor distT="0" distB="0" distL="114300" distR="114300" simplePos="0" relativeHeight="251652608"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23"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1344" behindDoc="0" locked="0" layoutInCell="1" allowOverlap="1" wp14:anchorId="1960A681" wp14:editId="3500F4FB">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24"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6464" behindDoc="0" locked="0" layoutInCell="1" allowOverlap="1" wp14:anchorId="100B0F1E" wp14:editId="00C31AA7">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25"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0560" behindDoc="0" locked="0" layoutInCell="1" allowOverlap="1" wp14:anchorId="24AE13D6" wp14:editId="57E2277F">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6"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4656" behindDoc="0" locked="0" layoutInCell="1" allowOverlap="1" wp14:anchorId="402A88B1" wp14:editId="1A122123">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2"/>
      <w:r w:rsidR="006D0EE0" w:rsidRPr="006D0EE0">
        <w:rPr>
          <w:b/>
          <w:bCs/>
          <w:iCs/>
          <w:sz w:val="16"/>
          <w:szCs w:val="16"/>
        </w:rPr>
        <w:t xml:space="preserve">(c) </w:t>
      </w:r>
      <w:commentRangeEnd w:id="2"/>
      <w:r w:rsidR="00F53B67">
        <w:rPr>
          <w:rStyle w:val="CommentReference"/>
        </w:rPr>
        <w:commentReference w:id="2"/>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autocorrelación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manufacturero en pesos nominales </w:t>
      </w:r>
      <w:r w:rsidR="001563D3" w:rsidRPr="001563D3">
        <w:rPr>
          <w:b/>
          <w:bCs/>
          <w:highlight w:val="cyan"/>
        </w:rPr>
        <w:t>no es estacionario.</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xml:space="preserve">, y en cualquier caso, cuando decrece no lo hace lo suficientemente rápido como para sugerir que la ACF de la primera diferencia estacional en su parte estacional es ergódica. Respecto a la componente estacional, se tiene que </w:t>
      </w:r>
      <w:r w:rsidR="00A27340" w:rsidRPr="002C564D">
        <w:rPr>
          <w:highlight w:val="lightGray"/>
        </w:rPr>
        <w:t xml:space="preserve">tampoco se cumple el supuesto de ergodicidad, ya que si bien para </w:t>
      </w:r>
      <m:oMath>
        <m:r>
          <w:rPr>
            <w:rFonts w:ascii="Cambria Math" w:hAnsi="Cambria Math"/>
            <w:highlight w:val="lightGray"/>
          </w:rPr>
          <m:t>k=12</m:t>
        </m:r>
      </m:oMath>
      <w:r w:rsidR="00A27340" w:rsidRPr="002C564D">
        <w:rPr>
          <w:highlight w:val="lightGray"/>
        </w:rPr>
        <w:t xml:space="preserve"> la autocorrelación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 xml:space="preserve">no es </w:t>
      </w:r>
      <w:proofErr w:type="gramStart"/>
      <w:r w:rsidR="00A27340" w:rsidRPr="00A27340">
        <w:rPr>
          <w:b/>
          <w:bCs/>
          <w:highlight w:val="cyan"/>
        </w:rPr>
        <w:t>estacionario</w:t>
      </w:r>
      <w:proofErr w:type="gramEnd"/>
      <w:r w:rsidR="00A27340" w:rsidRPr="00A27340">
        <w:rPr>
          <w:b/>
          <w:bCs/>
          <w:highlight w:val="cyan"/>
        </w:rPr>
        <w:t>.</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211BD68E" w:rsidR="00EF4AEE" w:rsidRPr="008B0E9C" w:rsidRDefault="00EF4AEE" w:rsidP="008B0E9C">
      <w:pPr>
        <w:autoSpaceDE w:val="0"/>
        <w:autoSpaceDN w:val="0"/>
        <w:adjustRightInd w:val="0"/>
        <w:spacing w:line="240" w:lineRule="auto"/>
        <w:ind w:firstLine="567"/>
      </w:pPr>
      <w:r>
        <w:rPr>
          <w:noProof/>
        </w:rPr>
        <mc:AlternateContent>
          <mc:Choice Requires="aink">
            <w:drawing>
              <wp:anchor distT="0" distB="0" distL="114300" distR="114300" simplePos="0" relativeHeight="251661824" behindDoc="0" locked="0" layoutInCell="1" allowOverlap="1" wp14:anchorId="229FA0B1" wp14:editId="448DED2B">
                <wp:simplePos x="0" y="0"/>
                <wp:positionH relativeFrom="column">
                  <wp:posOffset>1638100</wp:posOffset>
                </wp:positionH>
                <wp:positionV relativeFrom="paragraph">
                  <wp:posOffset>304660</wp:posOffset>
                </wp:positionV>
                <wp:extent cx="360" cy="360"/>
                <wp:effectExtent l="57150" t="38100" r="19050" b="38100"/>
                <wp:wrapNone/>
                <wp:docPr id="22"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61824" behindDoc="0" locked="0" layoutInCell="1" allowOverlap="1" wp14:anchorId="229FA0B1" wp14:editId="448DED2B">
                <wp:simplePos x="0" y="0"/>
                <wp:positionH relativeFrom="column">
                  <wp:posOffset>1638100</wp:posOffset>
                </wp:positionH>
                <wp:positionV relativeFrom="paragraph">
                  <wp:posOffset>304660</wp:posOffset>
                </wp:positionV>
                <wp:extent cx="360" cy="360"/>
                <wp:effectExtent l="57150" t="38100" r="19050" b="38100"/>
                <wp:wrapNone/>
                <wp:docPr id="22" name="In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nk 22"/>
                        <pic:cNvPicPr>
                          <a:picLocks noRot="1"/>
                        </pic:cNvPicPr>
                      </pic:nvPicPr>
                      <pic:blipFill>
                        <a:blip r:embed="rId29"/>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0800" behindDoc="0" locked="0" layoutInCell="1" allowOverlap="1" wp14:anchorId="5B425C98" wp14:editId="13D05FF8">
                <wp:simplePos x="0" y="0"/>
                <wp:positionH relativeFrom="column">
                  <wp:posOffset>2342980</wp:posOffset>
                </wp:positionH>
                <wp:positionV relativeFrom="paragraph">
                  <wp:posOffset>412300</wp:posOffset>
                </wp:positionV>
                <wp:extent cx="360" cy="360"/>
                <wp:effectExtent l="57150" t="38100" r="19050" b="38100"/>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60800" behindDoc="0" locked="0" layoutInCell="1" allowOverlap="1" wp14:anchorId="5B425C98" wp14:editId="13D05FF8">
                <wp:simplePos x="0" y="0"/>
                <wp:positionH relativeFrom="column">
                  <wp:posOffset>2342980</wp:posOffset>
                </wp:positionH>
                <wp:positionV relativeFrom="paragraph">
                  <wp:posOffset>412300</wp:posOffset>
                </wp:positionV>
                <wp:extent cx="360" cy="360"/>
                <wp:effectExtent l="57150" t="38100" r="19050" b="38100"/>
                <wp:wrapNone/>
                <wp:docPr id="18" name="Ink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nk 18"/>
                        <pic:cNvPicPr>
                          <a:picLocks noRot="1"/>
                        </pic:cNvPicPr>
                      </pic:nvPicPr>
                      <pic:blipFill>
                        <a:blip r:embed="rId29"/>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58752" behindDoc="0" locked="0" layoutInCell="1" allowOverlap="1" wp14:anchorId="37DE7160" wp14:editId="3BFE5C4D">
                <wp:simplePos x="0" y="0"/>
                <wp:positionH relativeFrom="column">
                  <wp:posOffset>2006380</wp:posOffset>
                </wp:positionH>
                <wp:positionV relativeFrom="paragraph">
                  <wp:posOffset>190540</wp:posOffset>
                </wp:positionV>
                <wp:extent cx="360" cy="360"/>
                <wp:effectExtent l="57150" t="38100" r="19050" b="38100"/>
                <wp:wrapNone/>
                <wp:docPr id="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58752" behindDoc="0" locked="0" layoutInCell="1" allowOverlap="1" wp14:anchorId="37DE7160" wp14:editId="3BFE5C4D">
                <wp:simplePos x="0" y="0"/>
                <wp:positionH relativeFrom="column">
                  <wp:posOffset>2006380</wp:posOffset>
                </wp:positionH>
                <wp:positionV relativeFrom="paragraph">
                  <wp:posOffset>190540</wp:posOffset>
                </wp:positionV>
                <wp:extent cx="360" cy="360"/>
                <wp:effectExtent l="57150" t="38100" r="19050" b="38100"/>
                <wp:wrapNone/>
                <wp:docPr id="16" name="Ink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nk 16"/>
                        <pic:cNvPicPr>
                          <a:picLocks noRot="1"/>
                        </pic:cNvPicPr>
                      </pic:nvPicPr>
                      <pic:blipFill>
                        <a:blip r:embed="rId29"/>
                        <a:stretch>
                          <a:fillRect/>
                        </a:stretch>
                      </pic:blipFill>
                      <pic:spPr>
                        <a:xfrm>
                          <a:off x="0" y="0"/>
                          <a:ext cx="36000" cy="216000"/>
                        </a:xfrm>
                        <a:prstGeom prst="rect">
                          <a:avLst/>
                        </a:prstGeom>
                      </pic:spPr>
                    </pic:pic>
                  </a:graphicData>
                </a:graphic>
              </wp:anchor>
            </w:drawing>
          </mc:Fallback>
        </mc:AlternateConten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3"/>
      <w:r w:rsidR="002C564D" w:rsidRPr="002C564D">
        <w:rPr>
          <w:highlight w:val="lightGray"/>
        </w:rPr>
        <w:t>varianza es aproximadamente constante para toda</w:t>
      </w:r>
      <w:r w:rsidR="002C564D">
        <w:t xml:space="preserve"> </w:t>
      </w:r>
      <w:commentRangeEnd w:id="3"/>
      <w:r w:rsidR="002C564D">
        <w:rPr>
          <w:rStyle w:val="CommentReference"/>
        </w:rPr>
        <w:commentReference w:id="3"/>
      </w:r>
      <w:r w:rsidR="002C564D">
        <w:t>la serie temporal</w:t>
      </w:r>
      <w:r>
        <w:rPr>
          <w:b/>
          <w:bCs/>
        </w:rPr>
        <w:t xml:space="preserve">. </w:t>
      </w:r>
      <w:r>
        <w:t xml:space="preserve">También resulta relevante analizar su función de autocorrelación muestral, exhibida en la </w:t>
      </w:r>
      <w:r>
        <w:rPr>
          <w:b/>
          <w:bCs/>
          <w:i/>
          <w:iCs/>
        </w:rPr>
        <w:t>figura 2 (h)</w:t>
      </w:r>
      <w:r>
        <w:t xml:space="preserve">, en la cual se muestra que parta la parte regular se tiene un patrón tipo de </w:t>
      </w:r>
      <w:commentRangeStart w:id="4"/>
      <w:r w:rsidRPr="00EF4AEE">
        <w:rPr>
          <w:highlight w:val="lightGray"/>
        </w:rPr>
        <w:t>cola exponencial sinusoidal</w:t>
      </w:r>
      <w:r>
        <w:t xml:space="preserve"> </w:t>
      </w:r>
      <w:commentRangeEnd w:id="4"/>
      <w:r>
        <w:rPr>
          <w:rStyle w:val="CommentReference"/>
        </w:rPr>
        <w:commentReference w:id="4"/>
      </w:r>
      <w:r>
        <w:t xml:space="preserve">que se acerca a cero rápidamente en </w:t>
      </w:r>
      <m:oMath>
        <m:r>
          <w:rPr>
            <w:rFonts w:ascii="Cambria Math" w:hAnsi="Cambria Math"/>
          </w:rPr>
          <m:t>k=6</m:t>
        </m:r>
      </m:oMath>
      <w:r>
        <w:t xml:space="preserve">. </w:t>
      </w:r>
      <w:r>
        <w:lastRenderedPageBreak/>
        <w:t xml:space="preserve">Respecto a la parte estacional, se puede ver que la ACF muestral toma inicialmente valores </w:t>
      </w:r>
      <w:proofErr w:type="gramStart"/>
      <w:r>
        <w:t>grandes</w:t>
      </w:r>
      <w:proofErr w:type="gramEnd"/>
      <w:r>
        <w:t xml:space="preserve"> pero para </w:t>
      </w:r>
      <m:oMath>
        <m:r>
          <w:rPr>
            <w:rFonts w:ascii="Cambria Math" w:hAnsi="Cambria Math"/>
          </w:rPr>
          <m:t>k=36</m:t>
        </m:r>
      </m:oMath>
      <w:r>
        <w:t xml:space="preserve"> este es próximo a cero. A</w:t>
      </w:r>
      <w:r w:rsidR="000359EE">
        <w:t>demás</w:t>
      </w:r>
      <w:r>
        <w:t xml:space="preserve">, resulta también útil analizar la función de autocorrelación parcial, PACF, de este proceso, observado en la </w:t>
      </w:r>
      <w:r>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ergodicidad</w:t>
      </w:r>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64896" behindDoc="0" locked="0" layoutInCell="1" allowOverlap="1" wp14:anchorId="103072B7" wp14:editId="2827BA16">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3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B0E9C">
        <w:rPr>
          <w:noProof/>
        </w:rPr>
        <mc:AlternateContent>
          <mc:Choice Requires="wpi">
            <w:drawing>
              <wp:anchor distT="0" distB="0" distL="114300" distR="114300" simplePos="0" relativeHeight="251667968" behindDoc="0" locked="0" layoutInCell="1" allowOverlap="1" wp14:anchorId="2F0FEFB9" wp14:editId="171A95BE">
                <wp:simplePos x="0" y="0"/>
                <wp:positionH relativeFrom="column">
                  <wp:posOffset>4121176</wp:posOffset>
                </wp:positionH>
                <wp:positionV relativeFrom="paragraph">
                  <wp:posOffset>1980981</wp:posOffset>
                </wp:positionV>
                <wp:extent cx="20160" cy="216000"/>
                <wp:effectExtent l="38100" t="38100" r="37465" b="31750"/>
                <wp:wrapNone/>
                <wp:docPr id="35"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20160" cy="216000"/>
                      </w14:xfrm>
                    </w14:contentPart>
                  </a:graphicData>
                </a:graphic>
              </wp:anchor>
            </w:drawing>
          </mc:Choice>
          <mc:Fallback>
            <w:pict>
              <v:shapetype w14:anchorId="7A5DE0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323.75pt;margin-top:155.3pt;width:3.1pt;height:18.4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FexSYAQAAewMAAA4AAABkcnMvZTJvRG9jLnhtbJxTXUvDMBR9F/wP&#10;Ie+u7TrnLOt8cAiCX4j+gJgma7DJLTeZnf/e23Z10ymCL+UmB07Ox+38YmMr9qbQG3A5T0YxZ8pJ&#10;KIxb5fz56epkxpkPwhWiAqdy/q48v1gcH82bOlNjKKEqFDIicT5r6pyXIdRZFHlZKiv8CGrlCNSA&#10;VgQ64ioqUDTEbqtoHMfTqAEsagSpvKfbZQ/yRcevtZLhXmuvAqtyfp6mKWeBhjglnUjDJD3l7CXn&#10;s7PpOY8Wc5GtUNSlkVtJ4h+KrDCOBHxSLUUQbI3mgMoaieBBh5EEG4HWRqrODzlL4m/Ort1r6yqZ&#10;yDVmElxQLjwIDEN2HfCfJ2xFCTS3UFA7Yh2Abxkpnr/L6EUvQa4t6ekbQVWJQOvgS1N7ijkzRc7x&#10;ukh2+t3b5c7BA+583X0HRDLJZH0D8tUPlSSTA2U/JrldlD7MrhTm4BGo/6StOhqyPHhzQH5TudFo&#10;237JPNvknFbpvf1266M2gUm6pAanBEhCxjTFHTwQ9wTDaa9MUvVlbfbPreK9f2bxAQAA//8DAFBL&#10;AwQUAAYACAAAACEAgZpliucBAACzBAAAEAAAAGRycy9pbmsvaW5rMS54bWy0k01vozAQhu8r7X+w&#10;podcAtiGhA+V9NRIK+1Kq21X2h4puMEq2JExIfn3az7iUDW9rLoXZMb2OzPPvL69O9YVOjDVcClS&#10;IC4GxEQuCy52Kfx+3DoRoEZnosgqKVgKJ9bA3ebrl1suXusqMV9kFETTr+oqhVLrfeJ5Xde5ne9K&#10;tfMoxr73Tbz++A6b6VbBXrjg2qRszqFcCs2OuhdLeJFCro/YnjfaD7JVObPbfUTllxNaZTnbSlVn&#10;2iqWmRCsQiKrTd1/AOnT3iy4ybNjClDNTcMOdUkQBtF9bALZMYXZf2tKbEwlNXjXNZ/+g+b2vWZf&#10;lk/DdQhoKqlgh74mb2CefNz7TyX3TGnOLphHKNPGCeXj/8BnBKVYI6u2nw2gQ1a1BhnB2Nhiyk28&#10;K0De6xk2n6pnuHyoNy/uLZqpvTmHCZq11Hm0mtfMGL3eW4/pxgj34QethudAMaUOXjuEPmKcBOuE&#10;xK6Po9koJhefNZ9V25RW71ld/DrsWGpjZx0vdGmhYxevLPQ58mtXS8Z3pf63u7mspHkO06xv7kNC&#10;aTDrachnzXbl6Q7+Q1Prv9hLCjfD60XDzTEw9E4QQTRYhavlIl6Q2F/gJURAAsBLJ3TiCOFl6FDi&#10;EH+9emNum91MbfMXAAD//wMAUEsDBBQABgAIAAAAIQC9eQYD4QAAAAsBAAAPAAAAZHJzL2Rvd25y&#10;ZXYueG1sTI/LTsMwEEX3SPyDNUjsqBOaOFUap0JI3bBBDRWInRO7SVQ/IttNw98zrOhyZo7uPVPt&#10;FqPJrHwYneWQrhIgynZOjrbncPzYP22AhCisFNpZxeFHBdjV93eVKKW72oOam9gTDLGhFByGGKeS&#10;0tANyoiwcpOyeDs5b0TE0fdUenHFcKPpc5IwasRosWEQk3odVHduLgZ7959Hkw7feevfNwf91Zze&#10;2Dhz/viwvGyBRLXEfxj+9FEdanRq3cXKQDQHlhU5ohzWacKAIMHydQGkxU1WZEDrit7+UP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QV7FJgBAAB7AwAA&#10;DgAAAAAAAAAAAAAAAAA8AgAAZHJzL2Uyb0RvYy54bWxQSwECLQAUAAYACAAAACEAgZpliucBAACz&#10;BAAAEAAAAAAAAAAAAAAAAAAABAAAZHJzL2luay9pbmsxLnhtbFBLAQItABQABgAIAAAAIQC9eQYD&#10;4QAAAAsBAAAPAAAAAAAAAAAAAAAAABUGAABkcnMvZG93bnJldi54bWxQSwECLQAUAAYACAAAACEA&#10;eRi8nb8AAAAhAQAAGQAAAAAAAAAAAAAAAAAjBwAAZHJzL19yZWxzL2Uyb0RvYy54bWwucmVsc1BL&#10;BQYAAAAABgAGAHgBAAAZCAAAAAA=&#10;">
                <v:imagedata r:id="rId34" o:title=""/>
                <o:lock v:ext="edit" rotation="t" aspectratio="f"/>
              </v:shape>
            </w:pict>
          </mc:Fallback>
        </mc:AlternateContent>
      </w:r>
      <w:r w:rsidR="008B0E9C">
        <w:rPr>
          <w:noProof/>
        </w:rPr>
        <mc:AlternateContent>
          <mc:Choice Requires="wpi">
            <w:drawing>
              <wp:anchor distT="0" distB="0" distL="114300" distR="114300" simplePos="0" relativeHeight="251666944" behindDoc="0" locked="0" layoutInCell="1" allowOverlap="1" wp14:anchorId="76BC691B" wp14:editId="71EF52E4">
                <wp:simplePos x="0" y="0"/>
                <wp:positionH relativeFrom="column">
                  <wp:posOffset>3773416</wp:posOffset>
                </wp:positionH>
                <wp:positionV relativeFrom="paragraph">
                  <wp:posOffset>2000781</wp:posOffset>
                </wp:positionV>
                <wp:extent cx="3600" cy="115920"/>
                <wp:effectExtent l="57150" t="38100" r="34925" b="36830"/>
                <wp:wrapNone/>
                <wp:docPr id="34"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3600" cy="115920"/>
                      </w14:xfrm>
                    </w14:contentPart>
                  </a:graphicData>
                </a:graphic>
              </wp:anchor>
            </w:drawing>
          </mc:Choice>
          <mc:Fallback>
            <w:pict>
              <v:shape w14:anchorId="77F13013" id="Ink 34" o:spid="_x0000_s1026" type="#_x0000_t75" style="position:absolute;margin-left:296.2pt;margin-top:156.85pt;width:2.05pt;height:10.6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SoqbAQAAfAMAAA4AAABkcnMvZTJvRG9jLnhtbJxT207jMBB9R+If&#10;LL9vE2fTCqKmPFAhIe2yaMV+gHHsxiL2RGOXlL9nkjS00EVIvETyHPn4XCbLq51r2LPGYMGXXMxS&#10;zrRXUFm/Kfm/h5sfF5yFKH0lG/C65C868KvV+dmyawudQQ1NpZERiQ9F15a8jrEtkiSoWjsZZtBq&#10;T6ABdDLSETdJhbIjdtckWZoukg6wahGUDoGm6xHkq4HfGK3iH2OCjqwhdSKbk75Y8st0vuAMh1E2&#10;5+yxH+U5T1ZLWWxQtrVVe1HyG5qctJ4kvFGtZZRsi/aEylmFEMDEmQKXgDFW6cEReRPpB2+3/qn3&#10;JXK1xUKBj9rHe4lxSm8AvvOEayiB7jdU1I/cRuB7Rsrn6zpG0WtQW0d6xk5QNzLSQoTatoFyLmxV&#10;crytxEG/f74+OLjHg6+7j4AUeaHaX6CewlSJyE+U/TfJ/aqMYQ6lMA9/gRZA9FUnU5Ynb07IZyp3&#10;Bl3fL5lnu5LTUr3032F99C4yRcOfi5TmigAh5pfZgE684/3pdNQliXq3NcfnXvDRT7N6BQAA//8D&#10;AFBLAwQUAAYACAAAACEAkhVlDeYBAACxBAAAEAAAAGRycy9pbmsvaW5rMS54bWy0k8tu2zAQRfcF&#10;+g/EZOGNJZHUg44QOasYKNACRZMC7VKRGIuIRBoU5cffl3qYVhBnU7QbgRqSd2bOXN7dH5sa7blu&#10;hZIZEB8D4rJQpZDbDH4+bbwVoNbkssxrJXkGJ97C/frzpzshX5s6tV9kFWTbr5o6g8qYXRoEh8PB&#10;P4S+0tuAYhwGX+Trt6+wnm6V/EVIYWzK9hwqlDT8aHqxVJQZFOaI3Xmr/ag6XXC33Ud0cTlhdF7w&#10;jdJNbpxilUvJayTzxtb9C5A57exC2DxbrgE1wjbsUZ9ELFo93NpAfsxg9t/ZEltbSQPBdc3f/0Fz&#10;816zLyukLGGAppJKvu9rCgbm6ce9f9dqx7UR/IJ5hDJtnFAx/g98RlCat6ru+tkA2ud1Z5ERjK0t&#10;ptwkuALkvZ5l80/1LJcP9ebFvUUztTfnMEFzljqP1oiGW6M3O+cx01rhPvxo9PAcKKbUw4lH6BPG&#10;aZSkZOVTzGajmFx81nzWXVs5vWd98euw46iNnR1EaSoHHfs4dtDnyK9drbjYVubv7haqVvY5TLO+&#10;eWCE0mjW05DPme3K0x38h6bWf/CXDG6G14uGm2Ng6J0hgmgUs3i58NiCkNsFXgIDFoJHwiReYo+s&#10;Ii+OEvLG2i63ndn6DwAAAP//AwBQSwMEFAAGAAgAAAAhAD5BMwfgAAAACwEAAA8AAABkcnMvZG93&#10;bnJldi54bWxMj8tOwzAQRfdI/IM1SGwQdR5NISFOVSEQ3VLavRtP49B4HMVOm/w9ZgXLmTm6c265&#10;nkzHLji41pKAeBEBQ6qtaqkRsP96f3wG5rwkJTtLKGBGB+vq9qaUhbJX+sTLzjcshJArpADtfV9w&#10;7mqNRrqF7ZHC7WQHI30Yh4arQV5DuOl4EkUrbmRL4YOWPb5qrM+70Qg44Hec6GR+ezhvTk30EW/n&#10;UVkh7u+mzQswj5P/g+FXP6hDFZyOdiTlWCcgy5NlQAWkcfoELBBZvsqAHcMmXebAq5L/7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PSoqbAQAAfAMA&#10;AA4AAAAAAAAAAAAAAAAAPAIAAGRycy9lMm9Eb2MueG1sUEsBAi0AFAAGAAgAAAAhAJIVZQ3mAQAA&#10;sQQAABAAAAAAAAAAAAAAAAAAAwQAAGRycy9pbmsvaW5rMS54bWxQSwECLQAUAAYACAAAACEAPkEz&#10;B+AAAAALAQAADwAAAAAAAAAAAAAAAAAXBgAAZHJzL2Rvd25yZXYueG1sUEsBAi0AFAAGAAgAAAAh&#10;AHkYvJ2/AAAAIQEAABkAAAAAAAAAAAAAAAAAJAcAAGRycy9fcmVscy9lMm9Eb2MueG1sLnJlbHNQ&#10;SwUGAAAAAAYABgB4AQAAGggAAAAA&#10;">
                <v:imagedata r:id="rId36" o:title=""/>
                <o:lock v:ext="edit" rotation="t" aspectratio="f"/>
              </v:shape>
            </w:pict>
          </mc:Fallback>
        </mc:AlternateContent>
      </w:r>
      <w:r w:rsidR="008B0E9C">
        <w:rPr>
          <w:noProof/>
        </w:rPr>
        <mc:AlternateContent>
          <mc:Choice Requires="wpi">
            <w:drawing>
              <wp:anchor distT="0" distB="0" distL="114300" distR="114300" simplePos="0" relativeHeight="251665920" behindDoc="0" locked="0" layoutInCell="1" allowOverlap="1" wp14:anchorId="0EA3BF15" wp14:editId="054BEFDD">
                <wp:simplePos x="0" y="0"/>
                <wp:positionH relativeFrom="column">
                  <wp:posOffset>3306496</wp:posOffset>
                </wp:positionH>
                <wp:positionV relativeFrom="paragraph">
                  <wp:posOffset>2010861</wp:posOffset>
                </wp:positionV>
                <wp:extent cx="13680" cy="122760"/>
                <wp:effectExtent l="38100" t="57150" r="24765" b="29845"/>
                <wp:wrapNone/>
                <wp:docPr id="33" name="Ink 33"/>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w14:cNvContentPartPr>
                      </w14:nvContentPartPr>
                      <w14:xfrm>
                        <a:off x="0" y="0"/>
                        <a:ext cx="13680" cy="122760"/>
                      </w14:xfrm>
                    </w14:contentPart>
                  </a:graphicData>
                </a:graphic>
              </wp:anchor>
            </w:drawing>
          </mc:Choice>
          <mc:Fallback>
            <w:pict>
              <v:shape w14:anchorId="64696375" id="Ink 33" o:spid="_x0000_s1026" type="#_x0000_t75" style="position:absolute;margin-left:259.65pt;margin-top:157.65pt;width:2.5pt;height:11.0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ZyiqaAQAAewMAAA4AAABkcnMvZTJvRG9jLnhtbJxT22rjMBB9L/Qf&#10;hN4bW2maOiZOHxoWCtsLy+4HaGUpFrU0ZqTU6d93bMdNtmlZ6IvR6MDRuYyXNztXsxeNwYIvuJik&#10;nGmvoLR+U/A/v39cZJyFKH0pa/C64K868JvV+dmybXI9hQrqUiMjEh/ytil4FWOTJ0lQlXYyTKDR&#10;nkAD6GSkETdJibIldlcn0zSdJy1g2SAoHQLdrgeQr3p+Y7SKj8YEHVld8EWakrw4HrDg2SK74uwv&#10;HbLZFU9WS5lvUDaVVXtJ8huKnLSeBLxTrWWUbIv2hMpZhRDAxIkCl4AxVuneDzkT6Qdnd/65cyVm&#10;aou5Ah+1j08S45hdD3znCVdTAu09lNSO3Ebge0aK5/9lDKLXoLaO9AyNoK5lpHUIlW0CZ5jbsuB4&#10;V4qDfv9ye3DwhAdfDx8BKWa5an6Ceg5jJWJ2ouzTJPeLMoTZl8I8/ALqX3RVJ2OWJ2+OyFcqdwZd&#10;1y+ZZ7uC0069dt9+ffQuMkWX4nKeEaAIEdPp9byHR+KBYJyOyiRV/6zN8dwpPvpnVm8AAAD//wMA&#10;UEsDBBQABgAIAAAAIQDo8Nby8wEAAMYEAAAQAAAAZHJzL2luay9pbmsxLnhtbLRTTW+jMBC9r7T/&#10;wXIPuQSwjYEElfTUSCvtSqttV9oeKbjBKtiRMfn49zsQ4lA1vay6F7DHnuc3b97c3h2aGu2EaaVW&#10;GaY+wUioQpdSbTL8+3HtLTBqba7KvNZKZPgoWny3+vrlVqrXpk7hiwBBtf2qqTNcWbtNg2C/3/v7&#10;0NdmEzBCwuCbev3xHa/GrFK8SCUtPNmeQ4VWVhxsD5bKMsOFPRB3H7AfdGcK4Y77iCkuN6zJC7HW&#10;psmtQ6xypUSNVN4A7z8Y2eMWFhLe2QiDUSOhYI/5lCd8cb+EQH7I8GTfAcUWmDQ4uI759B8w1+8x&#10;e1ohS+IEo5FSKXY9p2DQPP249p9Gb4WxUlxkPokyHhxRcdoP+pyEMqLVddf3BqNdXncgGSUEbDG+&#10;TYMrgrzHA20+FQ90+RBvSu6tNGN5Ux1G0Zylzq21shFg9GbrPGZbAO7DD9YM48AIYx6JPcoeCUl5&#10;nFLuL5LlpBWji8+Yz6ZrK4f3bC5+HU6caqfK9rK0lROd+CRyok8lv5ZaCbmp7L/lFrrWMA5jr2/u&#10;E8oYn9Q0vOfMdmV0B/+hsfRf4iXDN8P0oiHzFBhqJ4ggxqMkms+WMx7PyBx7MfZojMl8gXiMyDxE&#10;jMHPoxzCHg3jaE68hHsRj+kbvztC0MjVXwAAAP//AwBQSwMEFAAGAAgAAAAhAH5i6O7gAAAACwEA&#10;AA8AAABkcnMvZG93bnJldi54bWxMj81OwzAQhO9IvIO1SNyokyahJcSpqkqcuEAookc3XuII/6Sx&#10;26Zvz3Iqt9md0ey31Wqyhp1wDL13AtJZAgxd61XvOgHbj5eHJbAQpVPSeIcCLhhgVd/eVLJU/uze&#10;8dTEjlGJC6UUoGMcSs5Dq9HKMPMDOvK+/WhlpHHsuBrlmcqt4fMkeeRW9o4uaDngRmP70xytgFev&#10;Q/652BzecvOlduuhuRy2vRD3d9P6GVjEKV7D8IdP6FAT094fnQrMCCjSp4yiArK0IEGJYp6T2NMm&#10;W+TA64r//6H+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sZyiqaAQAAewMAAA4AAAAAAAAAAAAAAAAAPAIAAGRycy9lMm9Eb2MueG1sUEsBAi0AFAAGAAgA&#10;AAAhAOjw1vLzAQAAxgQAABAAAAAAAAAAAAAAAAAAAgQAAGRycy9pbmsvaW5rMS54bWxQSwECLQAU&#10;AAYACAAAACEAfmLo7uAAAAALAQAADwAAAAAAAAAAAAAAAAAjBgAAZHJzL2Rvd25yZXYueG1sUEsB&#10;Ai0AFAAGAAgAAAAhAHkYvJ2/AAAAIQEAABkAAAAAAAAAAAAAAAAAMAcAAGRycy9fcmVscy9lMm9E&#10;b2MueG1sLnJlbHNQSwUGAAAAAAYABgB4AQAAJggAAAAA&#10;">
                <v:imagedata r:id="rId38" o:title=""/>
                <o:lock v:ext="edit" rotation="t" aspectratio="f"/>
              </v:shape>
            </w:pict>
          </mc:Fallback>
        </mc:AlternateContent>
      </w:r>
      <w:r w:rsidR="008B0E9C">
        <w:t xml:space="preserve">concluye, tanto por la parte estacional como para la regular, que hay ergodicidad,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media y varianza constantes, así como la ergodicidad</w:t>
      </w:r>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proofErr w:type="spellStart"/>
      <w:r>
        <w:rPr>
          <w:i/>
          <w:iCs/>
        </w:rPr>
        <w:t>Dickey</w:t>
      </w:r>
      <w:proofErr w:type="spellEnd"/>
      <w:r>
        <w:rPr>
          <w:i/>
          <w:iCs/>
        </w:rPr>
        <w:t xml:space="preserve">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4730BA"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9E2F7A"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5"/>
      <w:r w:rsidR="003C7DC2">
        <w:t>.</w:t>
      </w:r>
      <w:commentRangeEnd w:id="5"/>
      <w:r w:rsidR="003C7DC2">
        <w:rPr>
          <w:rStyle w:val="CommentReference"/>
        </w:rPr>
        <w:commentReference w:id="5"/>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BodyText"/>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BodyText"/>
        <w:ind w:left="720"/>
        <w:rPr>
          <w:rFonts w:ascii="Times New Roman" w:hAnsi="Times New Roman"/>
          <w:sz w:val="20"/>
          <w:szCs w:val="20"/>
        </w:rPr>
      </w:pPr>
    </w:p>
    <w:p w14:paraId="3497E21E" w14:textId="23762522" w:rsidR="00DB750C" w:rsidRPr="00DB750C" w:rsidRDefault="00DB750C" w:rsidP="00315BAB">
      <w:pPr>
        <w:pStyle w:val="BodyText"/>
        <w:ind w:left="720"/>
        <w:rPr>
          <w:rFonts w:ascii="Cambria Math" w:hAnsi="Cambria Math"/>
          <w:sz w:val="14"/>
          <w:szCs w:val="14"/>
          <w:oMath/>
        </w:rPr>
        <w:sectPr w:rsidR="00DB750C" w:rsidRPr="00DB750C" w:rsidSect="00B15BC4">
          <w:footerReference w:type="default" r:id="rId39"/>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9E2F7A"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9E2F7A"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9E2F7A"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9E2F7A"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9E2F7A"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9E2F7A"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9E2F7A"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BodyText"/>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BodyText"/>
        <w:ind w:firstLine="567"/>
        <w:rPr>
          <w:rFonts w:ascii="Times New Roman" w:hAnsi="Times New Roman"/>
          <w:sz w:val="10"/>
          <w:szCs w:val="10"/>
        </w:rPr>
      </w:pPr>
    </w:p>
    <w:p w14:paraId="3E799678" w14:textId="0C2F68CD" w:rsidR="00B146C1" w:rsidRPr="00DB750C" w:rsidRDefault="00B146C1" w:rsidP="00565EFF">
      <w:pPr>
        <w:pStyle w:val="BodyText"/>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6"/>
      <w:r w:rsidR="00565EFF" w:rsidRPr="00565EFF">
        <w:rPr>
          <w:rFonts w:ascii="Times New Roman" w:hAnsi="Times New Roman"/>
          <w:b/>
          <w:bCs/>
          <w:i/>
          <w:iCs/>
          <w:sz w:val="20"/>
          <w:szCs w:val="20"/>
          <w:highlight w:val="red"/>
        </w:rPr>
        <w:t>R</w:t>
      </w:r>
      <w:commentRangeEnd w:id="6"/>
      <w:r w:rsidR="00565EFF">
        <w:rPr>
          <w:rStyle w:val="CommentReference"/>
          <w:rFonts w:ascii="Times New Roman" w:hAnsi="Times New Roman"/>
        </w:rPr>
        <w:commentReference w:id="6"/>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BodyText"/>
        <w:ind w:firstLine="567"/>
        <w:rPr>
          <w:rFonts w:ascii="Times New Roman" w:hAnsi="Times New Roman"/>
          <w:sz w:val="20"/>
          <w:szCs w:val="20"/>
        </w:rPr>
      </w:pPr>
    </w:p>
    <w:p w14:paraId="54705C2B" w14:textId="758CC16C" w:rsidR="005B6B1F" w:rsidRDefault="005B6B1F" w:rsidP="005B6B1F">
      <w:pPr>
        <w:pStyle w:val="BodyText"/>
        <w:ind w:firstLine="567"/>
        <w:jc w:val="center"/>
        <w:rPr>
          <w:rFonts w:ascii="Times New Roman" w:hAnsi="Times New Roman"/>
          <w:b/>
          <w:bCs/>
          <w:sz w:val="20"/>
          <w:szCs w:val="20"/>
        </w:rPr>
      </w:pPr>
    </w:p>
    <w:p w14:paraId="33E54A57" w14:textId="7818E76E" w:rsidR="005B6B1F" w:rsidRPr="005B6B1F" w:rsidRDefault="005B6B1F" w:rsidP="005B6B1F">
      <w:pPr>
        <w:pStyle w:val="BodyText"/>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proofErr w:type="gramStart"/>
      <w:r>
        <w:rPr>
          <w:rFonts w:ascii="Times New Roman" w:hAnsi="Times New Roman"/>
          <w:b/>
          <w:bCs/>
          <w:i/>
          <w:iCs/>
          <w:sz w:val="20"/>
          <w:szCs w:val="20"/>
        </w:rPr>
        <w:t>SARIMA(</w:t>
      </w:r>
      <w:proofErr w:type="gramEnd"/>
      <w:r>
        <w:rPr>
          <w:rFonts w:ascii="Times New Roman" w:hAnsi="Times New Roman"/>
          <w:b/>
          <w:bCs/>
          <w:i/>
          <w:iCs/>
          <w:sz w:val="20"/>
          <w:szCs w:val="20"/>
        </w:rPr>
        <w:t>p, d, q)(P, D, Q)</w:t>
      </w:r>
      <w:r>
        <w:rPr>
          <w:rFonts w:ascii="Times New Roman" w:hAnsi="Times New Roman"/>
          <w:b/>
          <w:bCs/>
          <w:i/>
          <w:iCs/>
          <w:sz w:val="20"/>
          <w:szCs w:val="20"/>
          <w:vertAlign w:val="subscript"/>
        </w:rPr>
        <w:t>[12]</w:t>
      </w:r>
    </w:p>
    <w:p w14:paraId="479FF37D" w14:textId="5E4CE17E" w:rsidR="001633EE" w:rsidRDefault="001633EE" w:rsidP="00B146C1">
      <w:pPr>
        <w:pStyle w:val="BodyText"/>
        <w:ind w:firstLine="567"/>
        <w:rPr>
          <w:rFonts w:ascii="Times New Roman" w:hAnsi="Times New Roman"/>
          <w:sz w:val="20"/>
          <w:szCs w:val="20"/>
        </w:rPr>
      </w:pPr>
    </w:p>
    <w:p w14:paraId="46738BDE" w14:textId="06F3B6F9" w:rsidR="001633EE" w:rsidRPr="00F617AB" w:rsidRDefault="00F617AB" w:rsidP="00B146C1">
      <w:pPr>
        <w:pStyle w:val="BodyText"/>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BodyText"/>
        <w:ind w:firstLine="567"/>
        <w:jc w:val="center"/>
        <w:rPr>
          <w:rFonts w:ascii="Times New Roman" w:hAnsi="Times New Roman"/>
          <w:b/>
          <w:bCs/>
          <w:i/>
          <w:iCs/>
          <w:sz w:val="16"/>
          <w:szCs w:val="16"/>
        </w:rPr>
      </w:pPr>
    </w:p>
    <w:p w14:paraId="12B78D16" w14:textId="23CDF225" w:rsidR="001564A2" w:rsidRPr="001633EE" w:rsidRDefault="001633EE" w:rsidP="00593D8D">
      <w:pPr>
        <w:pStyle w:val="BodyText"/>
        <w:ind w:firstLine="567"/>
        <w:jc w:val="center"/>
        <w:rPr>
          <w:rFonts w:ascii="Times New Roman" w:hAnsi="Times New Roman"/>
          <w:sz w:val="16"/>
          <w:szCs w:val="16"/>
        </w:rPr>
      </w:pPr>
      <w:commentRangeStart w:id="7"/>
      <w:r w:rsidRPr="0044792C">
        <w:rPr>
          <w:rFonts w:ascii="Times New Roman" w:hAnsi="Times New Roman"/>
          <w:b/>
          <w:bCs/>
          <w:i/>
          <w:iCs/>
          <w:sz w:val="16"/>
          <w:szCs w:val="16"/>
          <w:highlight w:val="red"/>
        </w:rPr>
        <w:lastRenderedPageBreak/>
        <w:t>Tabla</w:t>
      </w:r>
      <w:commentRangeEnd w:id="7"/>
      <w:r w:rsidR="0044792C">
        <w:rPr>
          <w:rStyle w:val="CommentReference"/>
          <w:rFonts w:ascii="Times New Roman" w:hAnsi="Times New Roman"/>
        </w:rPr>
        <w:commentReference w:id="7"/>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eGrid"/>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BodyText"/>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BodyText"/>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BodyText"/>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BodyText"/>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BodyText"/>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9E2F7A"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BodyText"/>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BodyText"/>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BodyText"/>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9E2F7A"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1A84D232" w:rsidR="005B6B1F" w:rsidRPr="001633EE" w:rsidRDefault="003A5168" w:rsidP="00904A66">
            <w:pPr>
              <w:pStyle w:val="BodyText"/>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BodyText"/>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BodyText"/>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9E2F7A"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7BA31B34" w:rsidR="005B6B1F" w:rsidRPr="001633EE" w:rsidRDefault="005B6B1F" w:rsidP="00904A66">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BodyText"/>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BodyText"/>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9E2F7A"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4DB6FFAD" w:rsidR="005B6B1F" w:rsidRPr="001633EE" w:rsidRDefault="005B6B1F" w:rsidP="00904A66">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BodyText"/>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BodyText"/>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9E2F7A"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70AA0A29" w:rsidR="005B6B1F" w:rsidRPr="001633EE" w:rsidRDefault="005B6B1F" w:rsidP="00904A66">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BodyText"/>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BodyText"/>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9E2F7A"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1519FC1" w:rsidR="005B6B1F" w:rsidRPr="001633EE" w:rsidRDefault="005B6B1F" w:rsidP="00904A66">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BodyText"/>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BodyText"/>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9E2F7A"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110E5775" w:rsidR="005B6B1F" w:rsidRPr="001633EE" w:rsidRDefault="005B6B1F" w:rsidP="00904A66">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BodyText"/>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BodyText"/>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BodyText"/>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BodyText"/>
              <w:rPr>
                <w:rFonts w:ascii="Times New Roman" w:hAnsi="Times New Roman"/>
                <w:sz w:val="20"/>
                <w:szCs w:val="20"/>
              </w:rPr>
            </w:pPr>
          </w:p>
        </w:tc>
        <w:tc>
          <w:tcPr>
            <w:tcW w:w="1214" w:type="dxa"/>
            <w:vMerge/>
          </w:tcPr>
          <w:p w14:paraId="27DB991A" w14:textId="77777777" w:rsidR="005B6B1F" w:rsidRDefault="005B6B1F" w:rsidP="00B146C1">
            <w:pPr>
              <w:pStyle w:val="BodyText"/>
              <w:rPr>
                <w:rFonts w:ascii="Times New Roman" w:hAnsi="Times New Roman"/>
                <w:sz w:val="20"/>
                <w:szCs w:val="20"/>
              </w:rPr>
            </w:pPr>
          </w:p>
        </w:tc>
        <w:tc>
          <w:tcPr>
            <w:tcW w:w="1286" w:type="dxa"/>
            <w:vMerge/>
          </w:tcPr>
          <w:p w14:paraId="04020F03" w14:textId="77777777" w:rsidR="005B6B1F" w:rsidRDefault="005B6B1F" w:rsidP="00B146C1">
            <w:pPr>
              <w:pStyle w:val="BodyText"/>
              <w:rPr>
                <w:rFonts w:ascii="Times New Roman" w:hAnsi="Times New Roman"/>
                <w:sz w:val="20"/>
                <w:szCs w:val="20"/>
              </w:rPr>
            </w:pPr>
          </w:p>
        </w:tc>
        <w:tc>
          <w:tcPr>
            <w:tcW w:w="1080" w:type="dxa"/>
            <w:vMerge/>
          </w:tcPr>
          <w:p w14:paraId="5E069A63" w14:textId="77777777" w:rsidR="005B6B1F" w:rsidRDefault="005B6B1F" w:rsidP="00B146C1">
            <w:pPr>
              <w:pStyle w:val="BodyText"/>
              <w:rPr>
                <w:rFonts w:ascii="Times New Roman" w:hAnsi="Times New Roman"/>
                <w:sz w:val="20"/>
                <w:szCs w:val="20"/>
              </w:rPr>
            </w:pPr>
          </w:p>
        </w:tc>
        <w:tc>
          <w:tcPr>
            <w:tcW w:w="1183" w:type="dxa"/>
            <w:vMerge/>
          </w:tcPr>
          <w:p w14:paraId="51E225B4" w14:textId="4905F12C" w:rsidR="005B6B1F" w:rsidRDefault="005B6B1F" w:rsidP="00B146C1">
            <w:pPr>
              <w:pStyle w:val="BodyText"/>
              <w:rPr>
                <w:rFonts w:ascii="Times New Roman" w:hAnsi="Times New Roman"/>
                <w:sz w:val="20"/>
                <w:szCs w:val="20"/>
              </w:rPr>
            </w:pPr>
          </w:p>
        </w:tc>
      </w:tr>
    </w:tbl>
    <w:p w14:paraId="3BBC5A33" w14:textId="0A210A80" w:rsidR="001564A2" w:rsidRDefault="001564A2" w:rsidP="00B146C1">
      <w:pPr>
        <w:pStyle w:val="BodyText"/>
        <w:ind w:firstLine="567"/>
        <w:rPr>
          <w:rFonts w:ascii="Times New Roman" w:hAnsi="Times New Roman"/>
          <w:sz w:val="20"/>
          <w:szCs w:val="20"/>
        </w:rPr>
      </w:pPr>
    </w:p>
    <w:p w14:paraId="23CECC6B" w14:textId="217A57AB" w:rsidR="00B146C1" w:rsidRDefault="00B146C1" w:rsidP="00B146C1">
      <w:pPr>
        <w:pStyle w:val="BodyText"/>
        <w:ind w:firstLine="567"/>
        <w:rPr>
          <w:rFonts w:ascii="Times New Roman" w:hAnsi="Times New Roman"/>
          <w:sz w:val="20"/>
          <w:szCs w:val="20"/>
        </w:rPr>
      </w:pPr>
    </w:p>
    <w:p w14:paraId="6D81FD48" w14:textId="32B045BC" w:rsidR="00F617AB" w:rsidRDefault="0086058D" w:rsidP="00B146C1">
      <w:pPr>
        <w:pStyle w:val="BodyText"/>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6058D">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xml:space="preserve">; así, teniendo un patrón cola en la ACF y corte en la PACF, se obtiene que la parte regular de la serie temporal de interés diferenciada por estacionalidad y tendencia se puede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BodyText"/>
        <w:ind w:firstLine="567"/>
        <w:rPr>
          <w:rFonts w:ascii="Times New Roman" w:hAnsi="Times New Roman"/>
          <w:sz w:val="10"/>
          <w:szCs w:val="10"/>
        </w:rPr>
      </w:pPr>
    </w:p>
    <w:p w14:paraId="64B05EAB" w14:textId="573EA6C9" w:rsidR="007E7F95" w:rsidRDefault="0044792C" w:rsidP="007E7F95">
      <w:pPr>
        <w:pStyle w:val="BodyText"/>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 xml:space="preserve">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3A5168" w:rsidP="007E7F95">
      <w:pPr>
        <w:pStyle w:val="BodyText"/>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3A5168" w:rsidP="007E7F95">
      <w:pPr>
        <w:pStyle w:val="BodyText"/>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BodyText"/>
        <w:ind w:firstLine="567"/>
        <w:rPr>
          <w:rFonts w:ascii="Times New Roman" w:hAnsi="Times New Roman"/>
          <w:b/>
          <w:bCs/>
          <w:sz w:val="10"/>
          <w:szCs w:val="10"/>
        </w:rPr>
      </w:pPr>
    </w:p>
    <w:p w14:paraId="3780907B" w14:textId="3FDF1F94" w:rsidR="007E7F95" w:rsidRDefault="00B03590" w:rsidP="007E7F95">
      <w:pPr>
        <w:pStyle w:val="BodyText"/>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empleando métodos automáticos, comenzando con la función </w:t>
      </w:r>
      <w:proofErr w:type="spellStart"/>
      <w:r w:rsidRPr="00B03590">
        <w:rPr>
          <w:rFonts w:ascii="Cascadia Code Light" w:hAnsi="Cascadia Code Light" w:cs="Cascadia Code Light"/>
          <w:sz w:val="14"/>
          <w:szCs w:val="14"/>
        </w:rPr>
        <w:t>auto.arima</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de la librería </w:t>
      </w:r>
      <w:proofErr w:type="spellStart"/>
      <w:r w:rsidRPr="00B03590">
        <w:rPr>
          <w:rFonts w:ascii="Cascadia Code SemiBold" w:hAnsi="Cascadia Code SemiBold" w:cs="Cascadia Code SemiBold"/>
          <w:b/>
          <w:bCs/>
          <w:sz w:val="14"/>
          <w:szCs w:val="14"/>
        </w:rPr>
        <w:t>forecast</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BodyText"/>
        <w:ind w:firstLine="567"/>
        <w:rPr>
          <w:rFonts w:ascii="Times New Roman" w:hAnsi="Times New Roman"/>
          <w:sz w:val="20"/>
          <w:szCs w:val="20"/>
        </w:rPr>
      </w:pPr>
    </w:p>
    <w:tbl>
      <w:tblPr>
        <w:tblStyle w:val="TableGrid"/>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BodyText"/>
              <w:rPr>
                <w:rFonts w:ascii="Times New Roman" w:hAnsi="Times New Roman"/>
                <w:sz w:val="8"/>
                <w:szCs w:val="8"/>
              </w:rPr>
            </w:pPr>
          </w:p>
          <w:p w14:paraId="18F780F9" w14:textId="5ADF6317"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4448"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40">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4688"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41">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BodyText"/>
              <w:rPr>
                <w:rFonts w:ascii="Times New Roman" w:hAnsi="Times New Roman"/>
                <w:sz w:val="8"/>
                <w:szCs w:val="8"/>
              </w:rPr>
            </w:pPr>
          </w:p>
          <w:p w14:paraId="3C819AEB" w14:textId="37D93D8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4928"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42">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414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2336"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BodyText"/>
              <w:rPr>
                <w:rFonts w:ascii="Times New Roman" w:hAnsi="Times New Roman"/>
                <w:sz w:val="6"/>
                <w:szCs w:val="6"/>
              </w:rPr>
            </w:pPr>
          </w:p>
          <w:p w14:paraId="0CC5BD4D" w14:textId="79203F9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9504"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BodyText"/>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proofErr w:type="gramStart"/>
      <w:r w:rsidRPr="00A564EF">
        <w:rPr>
          <w:rFonts w:ascii="Times New Roman" w:hAnsi="Times New Roman"/>
          <w:b/>
          <w:bCs/>
          <w:sz w:val="16"/>
          <w:szCs w:val="16"/>
        </w:rPr>
        <w:t>SARIMA(</w:t>
      </w:r>
      <w:proofErr w:type="gramEnd"/>
      <w:r w:rsidRPr="00A564EF">
        <w:rPr>
          <w:rFonts w:ascii="Times New Roman" w:hAnsi="Times New Roman"/>
          <w:b/>
          <w:bCs/>
          <w:sz w:val="16"/>
          <w:szCs w:val="16"/>
        </w:rPr>
        <w:t xml:space="preserve">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w:t>
      </w:r>
      <w:r w:rsidRPr="00A564EF">
        <w:rPr>
          <w:rFonts w:ascii="Times New Roman" w:hAnsi="Times New Roman"/>
          <w:sz w:val="16"/>
          <w:szCs w:val="16"/>
        </w:rPr>
        <w:t xml:space="preserve">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w:t>
      </w:r>
      <w:r w:rsidRPr="00A564EF">
        <w:rPr>
          <w:rFonts w:ascii="Times New Roman" w:hAnsi="Times New Roman"/>
          <w:b/>
          <w:bCs/>
          <w:sz w:val="16"/>
          <w:szCs w:val="16"/>
        </w:rPr>
        <w:t>e</w:t>
      </w:r>
      <w:r w:rsidRPr="00A564EF">
        <w:rPr>
          <w:rFonts w:ascii="Times New Roman" w:hAnsi="Times New Roman"/>
          <w:b/>
          <w:bCs/>
          <w:sz w:val="16"/>
          <w:szCs w:val="16"/>
        </w:rPr>
        <w:t xml:space="preserve">) </w:t>
      </w:r>
      <w:r w:rsidRPr="00A564EF">
        <w:rPr>
          <w:rFonts w:ascii="Times New Roman" w:hAnsi="Times New Roman"/>
          <w:sz w:val="16"/>
          <w:szCs w:val="16"/>
        </w:rPr>
        <w:t>B</w:t>
      </w:r>
      <w:r w:rsidRPr="00A564EF">
        <w:rPr>
          <w:rFonts w:ascii="Times New Roman" w:hAnsi="Times New Roman"/>
          <w:sz w:val="16"/>
          <w:szCs w:val="16"/>
        </w:rPr>
        <w:t xml:space="preserve">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w:t>
      </w:r>
      <w:r w:rsidRPr="00A564EF">
        <w:rPr>
          <w:rFonts w:ascii="Times New Roman" w:hAnsi="Times New Roman"/>
          <w:b/>
          <w:bCs/>
          <w:sz w:val="16"/>
          <w:szCs w:val="16"/>
        </w:rPr>
        <w:t>f</w:t>
      </w:r>
      <w:r w:rsidRPr="00A564EF">
        <w:rPr>
          <w:rFonts w:ascii="Times New Roman" w:hAnsi="Times New Roman"/>
          <w:b/>
          <w:bCs/>
          <w:sz w:val="16"/>
          <w:szCs w:val="16"/>
        </w:rPr>
        <w:t>)</w:t>
      </w:r>
      <w:r w:rsidRPr="00A564EF">
        <w:rPr>
          <w:rFonts w:ascii="Times New Roman" w:hAnsi="Times New Roman"/>
          <w:sz w:val="16"/>
          <w:szCs w:val="16"/>
        </w:rPr>
        <w:t xml:space="preserve"> </w:t>
      </w:r>
      <w:r w:rsidRPr="00A564EF">
        <w:rPr>
          <w:rFonts w:ascii="Times New Roman" w:hAnsi="Times New Roman"/>
          <w:sz w:val="16"/>
          <w:szCs w:val="16"/>
        </w:rPr>
        <w:t>B</w:t>
      </w:r>
      <w:r w:rsidRPr="00A564EF">
        <w:rPr>
          <w:rFonts w:ascii="Times New Roman" w:hAnsi="Times New Roman"/>
          <w:sz w:val="16"/>
          <w:szCs w:val="16"/>
        </w:rPr>
        <w:t xml:space="preserve">IC y </w:t>
      </w:r>
      <w:r w:rsidRPr="00A564EF">
        <w:rPr>
          <w:rFonts w:ascii="Times New Roman" w:hAnsi="Times New Roman"/>
          <w:i/>
          <w:iCs/>
          <w:sz w:val="16"/>
          <w:szCs w:val="16"/>
        </w:rPr>
        <w:t>seas</w:t>
      </w:r>
      <w:r w:rsidRPr="00A564EF">
        <w:rPr>
          <w:rFonts w:ascii="Times New Roman" w:hAnsi="Times New Roman"/>
          <w:i/>
          <w:iCs/>
          <w:sz w:val="16"/>
          <w:szCs w:val="16"/>
        </w:rPr>
        <w:t>.</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BodyText"/>
        <w:ind w:firstLine="567"/>
        <w:rPr>
          <w:rFonts w:ascii="Times New Roman" w:hAnsi="Times New Roman"/>
          <w:sz w:val="16"/>
          <w:szCs w:val="16"/>
        </w:rPr>
      </w:pPr>
    </w:p>
    <w:p w14:paraId="764C3326" w14:textId="5FDE2E91" w:rsidR="00EC0C8C" w:rsidRDefault="004730BA" w:rsidP="00F53B67">
      <w:pPr>
        <w:pStyle w:val="BodyText"/>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proofErr w:type="spellStart"/>
      <w:r w:rsidR="007B40D2">
        <w:rPr>
          <w:rFonts w:ascii="Times New Roman" w:hAnsi="Times New Roman"/>
          <w:i/>
          <w:iCs/>
          <w:sz w:val="20"/>
          <w:szCs w:val="20"/>
          <w:u w:val="single"/>
        </w:rPr>
        <w:t>with</w:t>
      </w:r>
      <w:proofErr w:type="spellEnd"/>
      <w:r w:rsidR="007B40D2">
        <w:rPr>
          <w:rFonts w:ascii="Times New Roman" w:hAnsi="Times New Roman"/>
          <w:i/>
          <w:iCs/>
          <w:sz w:val="20"/>
          <w:szCs w:val="20"/>
          <w:u w:val="single"/>
        </w:rPr>
        <w:t xml:space="preserve"> </w:t>
      </w:r>
      <w:proofErr w:type="spellStart"/>
      <w:r w:rsidR="007B40D2">
        <w:rPr>
          <w:rFonts w:ascii="Times New Roman" w:hAnsi="Times New Roman"/>
          <w:i/>
          <w:iCs/>
          <w:sz w:val="20"/>
          <w:szCs w:val="20"/>
          <w:u w:val="single"/>
        </w:rPr>
        <w:t>drift</w:t>
      </w:r>
      <w:proofErr w:type="spellEnd"/>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proofErr w:type="gramStart"/>
      <w:r w:rsidR="007031B1">
        <w:rPr>
          <w:rFonts w:ascii="Times New Roman" w:hAnsi="Times New Roman"/>
          <w:sz w:val="20"/>
          <w:szCs w:val="20"/>
        </w:rPr>
        <w:t>modelos</w:t>
      </w:r>
      <w:proofErr w:type="gramEnd"/>
      <w:r w:rsidR="007031B1">
        <w:rPr>
          <w:rFonts w:ascii="Times New Roman" w:hAnsi="Times New Roman"/>
          <w:sz w:val="20"/>
          <w:szCs w:val="20"/>
        </w:rPr>
        <w:t xml:space="preserve"> no se da esta situación.</w:t>
      </w:r>
    </w:p>
    <w:p w14:paraId="2B2AE4AB" w14:textId="77777777" w:rsidR="00E27D07" w:rsidRDefault="00E27D07" w:rsidP="007E7F95">
      <w:pPr>
        <w:pStyle w:val="BodyText"/>
        <w:ind w:firstLine="567"/>
        <w:rPr>
          <w:rFonts w:ascii="Times New Roman" w:hAnsi="Times New Roman"/>
          <w:sz w:val="20"/>
          <w:szCs w:val="20"/>
        </w:rPr>
      </w:pPr>
    </w:p>
    <w:p w14:paraId="5324C80E" w14:textId="7CD0803D" w:rsidR="007B40D2" w:rsidRPr="00E27D07" w:rsidRDefault="00E27D07" w:rsidP="00E27D07">
      <w:pPr>
        <w:pStyle w:val="BodyText"/>
        <w:ind w:firstLine="567"/>
        <w:jc w:val="center"/>
        <w:rPr>
          <w:rFonts w:ascii="Times New Roman" w:hAnsi="Times New Roman"/>
          <w:sz w:val="16"/>
          <w:szCs w:val="16"/>
        </w:rPr>
      </w:pPr>
      <w:commentRangeStart w:id="8"/>
      <w:r w:rsidRPr="00E27D07">
        <w:rPr>
          <w:rFonts w:ascii="Times New Roman" w:hAnsi="Times New Roman"/>
          <w:b/>
          <w:bCs/>
          <w:i/>
          <w:iCs/>
          <w:sz w:val="16"/>
          <w:szCs w:val="16"/>
        </w:rPr>
        <w:t xml:space="preserve">Tabla 2. </w:t>
      </w:r>
      <w:commentRangeEnd w:id="8"/>
      <w:r w:rsidR="00F53B67">
        <w:rPr>
          <w:rStyle w:val="CommentReference"/>
          <w:rFonts w:ascii="Times New Roman" w:hAnsi="Times New Roman"/>
        </w:rPr>
        <w:commentReference w:id="8"/>
      </w:r>
      <w:r w:rsidRPr="00E27D07">
        <w:rPr>
          <w:rFonts w:ascii="Times New Roman" w:hAnsi="Times New Roman"/>
          <w:sz w:val="16"/>
          <w:szCs w:val="16"/>
        </w:rPr>
        <w:t xml:space="preserve">Ecuaciones teóricas de los modelos identificados de forma automática con la función </w:t>
      </w:r>
      <w:proofErr w:type="spellStart"/>
      <w:proofErr w:type="gramStart"/>
      <w:r w:rsidRPr="00E27D07">
        <w:rPr>
          <w:rFonts w:ascii="Cascadia Code Light" w:hAnsi="Cascadia Code Light" w:cs="Cascadia Code Light"/>
          <w:sz w:val="12"/>
          <w:szCs w:val="12"/>
        </w:rPr>
        <w:t>auto.arima</w:t>
      </w:r>
      <w:proofErr w:type="spellEnd"/>
      <w:proofErr w:type="gramEnd"/>
      <w:r w:rsidRPr="00E27D07">
        <w:rPr>
          <w:rFonts w:ascii="Cascadia Code Light" w:hAnsi="Cascadia Code Light" w:cs="Cascadia Code Light"/>
          <w:sz w:val="12"/>
          <w:szCs w:val="12"/>
        </w:rPr>
        <w:t>()</w:t>
      </w:r>
      <w:r w:rsidRPr="00E27D07">
        <w:rPr>
          <w:rFonts w:ascii="Cascadia Code Light" w:hAnsi="Cascadia Code Light" w:cs="Cascadia Code Light"/>
          <w:sz w:val="12"/>
          <w:szCs w:val="12"/>
        </w:rPr>
        <w:t>.</w:t>
      </w:r>
    </w:p>
    <w:tbl>
      <w:tblPr>
        <w:tblStyle w:val="TableGrid"/>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BodyText"/>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 xml:space="preserve">0, 1, 2)(2, 0, 0)[12] con </w:t>
            </w:r>
            <w:r w:rsidR="007031B1">
              <w:rPr>
                <w:rFonts w:ascii="Times New Roman" w:hAnsi="Times New Roman"/>
                <w:b/>
                <w:bCs/>
                <w:sz w:val="14"/>
                <w:szCs w:val="14"/>
              </w:rPr>
              <w:t>deriva.</w:t>
            </w:r>
          </w:p>
          <w:p w14:paraId="68D00A5D" w14:textId="60339534" w:rsidR="007B40D2" w:rsidRPr="00EC0C8C" w:rsidRDefault="00EC0C8C" w:rsidP="007B40D2">
            <w:pPr>
              <w:pStyle w:val="BodyText"/>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BodyText"/>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0, 1, 2)(2, 0, 0)[12] con deriva</w:t>
            </w:r>
            <w:r w:rsidR="007031B1">
              <w:rPr>
                <w:rFonts w:ascii="Times New Roman" w:hAnsi="Times New Roman"/>
                <w:b/>
                <w:bCs/>
                <w:sz w:val="14"/>
                <w:szCs w:val="14"/>
              </w:rPr>
              <w:t>.</w:t>
            </w:r>
          </w:p>
          <w:p w14:paraId="49FEE1CD" w14:textId="47F81621" w:rsidR="007B40D2" w:rsidRPr="00EC0C8C" w:rsidRDefault="00D74A68" w:rsidP="00D74A68">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D74A68" w:rsidP="005F24D7">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m:t>
                </m:r>
                <m:r>
                  <w:rPr>
                    <w:rFonts w:ascii="Cambria Math" w:hAnsi="Cambria Math"/>
                    <w:sz w:val="14"/>
                    <w:szCs w:val="14"/>
                  </w:rPr>
                  <m:t xml:space="preserve">  </m:t>
                </m:r>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 xml:space="preserve"> </m:t>
                    </m:r>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m:t>
                </m:r>
                <m:r>
                  <w:rPr>
                    <w:rFonts w:ascii="Cambria Math" w:hAnsi="Cambria Math"/>
                    <w:sz w:val="14"/>
                    <w:szCs w:val="14"/>
                  </w:rPr>
                  <m:t>un</m:t>
                </m:r>
                <m:r>
                  <w:rPr>
                    <w:rFonts w:ascii="Cambria Math" w:hAnsi="Cambria Math"/>
                    <w:sz w:val="14"/>
                    <w:szCs w:val="14"/>
                  </w:rPr>
                  <m:t xml:space="preserve"> </m:t>
                </m:r>
                <m:r>
                  <w:rPr>
                    <w:rFonts w:ascii="Cambria Math" w:hAnsi="Cambria Math"/>
                    <w:sz w:val="14"/>
                    <w:szCs w:val="14"/>
                  </w:rPr>
                  <m:t>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5F24D7" w:rsidP="005F24D7">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E27D07" w:rsidP="00E27D07">
            <w:pPr>
              <w:pStyle w:val="BodyText"/>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E27D07" w:rsidP="00E27D07">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m:t>
                </m:r>
                <m:r>
                  <w:rPr>
                    <w:rFonts w:ascii="Cambria Math" w:hAnsi="Cambria Math"/>
                    <w:sz w:val="14"/>
                    <w:szCs w:val="14"/>
                  </w:rPr>
                  <m:t xml:space="preserve">  </m:t>
                </m:r>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 xml:space="preserve"> </m:t>
                    </m:r>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m:t>
                </m:r>
                <m:r>
                  <w:rPr>
                    <w:rFonts w:ascii="Cambria Math" w:hAnsi="Cambria Math"/>
                    <w:sz w:val="14"/>
                    <w:szCs w:val="14"/>
                  </w:rPr>
                  <m:t>un</m:t>
                </m:r>
                <m:r>
                  <w:rPr>
                    <w:rFonts w:ascii="Cambria Math" w:hAnsi="Cambria Math"/>
                    <w:sz w:val="14"/>
                    <w:szCs w:val="14"/>
                  </w:rPr>
                  <m:t xml:space="preserve"> </m:t>
                </m:r>
                <m:r>
                  <w:rPr>
                    <w:rFonts w:ascii="Cambria Math" w:hAnsi="Cambria Math"/>
                    <w:sz w:val="14"/>
                    <w:szCs w:val="14"/>
                  </w:rPr>
                  <m:t>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7A43A3"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71040;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proofErr w:type="spellStart"/>
      <w:r w:rsidR="00363E1C" w:rsidRPr="00A14ABE">
        <w:rPr>
          <w:rFonts w:ascii="Cascadia Code Light" w:hAnsi="Cascadia Code Light" w:cs="Cascadia Code Light"/>
          <w:sz w:val="16"/>
          <w:szCs w:val="16"/>
        </w:rPr>
        <w:t>armasubsets</w:t>
      </w:r>
      <w:proofErr w:type="spellEnd"/>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visible en la </w:t>
      </w:r>
      <w:r>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(que sí incorpora términos asociados a la parte estacional de la serie), presentado en la </w:t>
      </w:r>
      <w:r>
        <w:rPr>
          <w:b/>
          <w:bCs/>
          <w:i/>
          <w:iCs/>
        </w:rPr>
        <w:t>figura 6.</w:t>
      </w:r>
    </w:p>
    <w:p w14:paraId="62070E7A" w14:textId="2D1111A7" w:rsidR="003705BE" w:rsidRPr="00A14ABE" w:rsidRDefault="00A14ABE"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72064" filled="f" strokecolor="#0070c0" strokeweight="2.25pt"/>
        </w:pict>
      </w:r>
      <w:r>
        <w:rPr>
          <w:noProof/>
        </w:rPr>
        <w:drawing>
          <wp:anchor distT="0" distB="0" distL="114300" distR="114300" simplePos="0" relativeHeight="251697152" behindDoc="0" locked="0" layoutInCell="1" allowOverlap="1" wp14:anchorId="1920CC6D" wp14:editId="40B8A3AD">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46">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89984" behindDoc="0" locked="0" layoutInCell="1" allowOverlap="1" wp14:anchorId="69FAA5B4" wp14:editId="066C0855">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47">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14ABE">
        <w:rPr>
          <w:b/>
          <w:bCs/>
          <w:i/>
          <w:iCs/>
          <w:sz w:val="16"/>
          <w:szCs w:val="16"/>
        </w:rPr>
        <w:t>Figura 5.</w:t>
      </w:r>
      <w:r w:rsidRPr="00A14ABE">
        <w:rPr>
          <w:sz w:val="16"/>
          <w:szCs w:val="16"/>
        </w:rPr>
        <w:t xml:space="preserve"> Gráfico </w:t>
      </w:r>
      <m:oMath>
        <m:r>
          <w:rPr>
            <w:rFonts w:ascii="Cambria Math" w:hAnsi="Cambria Math"/>
            <w:sz w:val="16"/>
            <w:szCs w:val="16"/>
          </w:rPr>
          <m:t>1</m:t>
        </m:r>
        <m:r>
          <w:rPr>
            <w:rFonts w:ascii="Cambria Math" w:hAnsi="Cambria Math"/>
            <w:sz w:val="16"/>
            <w:szCs w:val="16"/>
          </w:rPr>
          <m:t>2</m:t>
        </m:r>
        <m:r>
          <w:rPr>
            <w:rFonts w:ascii="Cambria Math" w:hAnsi="Cambria Math"/>
            <w:sz w:val="16"/>
            <w:szCs w:val="16"/>
          </w:rPr>
          <m:t xml:space="preserve"> </m:t>
        </m:r>
        <m:r>
          <m:rPr>
            <m:sty m:val="p"/>
          </m:rPr>
          <w:rPr>
            <w:rFonts w:ascii="Cambria Math" w:hAnsi="Cambria Math"/>
            <w:sz w:val="16"/>
            <w:szCs w:val="16"/>
          </w:rPr>
          <m:t>×</m:t>
        </m:r>
        <m:r>
          <w:rPr>
            <w:rFonts w:ascii="Cambria Math" w:hAnsi="Cambria Math"/>
            <w:sz w:val="16"/>
            <w:szCs w:val="16"/>
          </w:rPr>
          <m:t>1</m:t>
        </m:r>
        <m:r>
          <w:rPr>
            <w:rFonts w:ascii="Cambria Math" w:hAnsi="Cambria Math"/>
            <w:sz w:val="16"/>
            <w:szCs w:val="16"/>
          </w:rPr>
          <m:t>2</m:t>
        </m:r>
      </m:oMath>
      <w:r w:rsidRPr="00A14ABE">
        <w:rPr>
          <w:sz w:val="16"/>
          <w:szCs w:val="16"/>
        </w:rPr>
        <w:t xml:space="preserve"> arrojado por </w:t>
      </w:r>
      <w:proofErr w:type="spellStart"/>
      <w:r w:rsidRPr="00A14ABE">
        <w:rPr>
          <w:rFonts w:ascii="Cascadia Code Light" w:hAnsi="Cascadia Code Light" w:cs="Cascadia Code Light"/>
          <w:sz w:val="14"/>
          <w:szCs w:val="14"/>
        </w:rPr>
        <w:t>armasubsets</w:t>
      </w:r>
      <w:proofErr w:type="spellEnd"/>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proofErr w:type="spellStart"/>
      <w:r>
        <w:rPr>
          <w:i/>
          <w:iCs/>
          <w:sz w:val="16"/>
          <w:szCs w:val="16"/>
        </w:rPr>
        <w:t>ols</w:t>
      </w:r>
      <w:proofErr w:type="spellEnd"/>
      <w:r>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proofErr w:type="spellStart"/>
      <w:r w:rsidRPr="00A14ABE">
        <w:rPr>
          <w:rFonts w:ascii="Cascadia Code Light" w:hAnsi="Cascadia Code Light" w:cs="Cascadia Code Light"/>
          <w:sz w:val="14"/>
          <w:szCs w:val="14"/>
        </w:rPr>
        <w:t>armasubsets</w:t>
      </w:r>
      <w:proofErr w:type="spellEnd"/>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w:t>
      </w:r>
      <w:r>
        <w:rPr>
          <w:sz w:val="16"/>
          <w:szCs w:val="16"/>
        </w:rPr>
        <w:t>usando el método “</w:t>
      </w:r>
      <w:proofErr w:type="spellStart"/>
      <w:r>
        <w:rPr>
          <w:i/>
          <w:iCs/>
          <w:sz w:val="16"/>
          <w:szCs w:val="16"/>
        </w:rPr>
        <w:t>ols</w:t>
      </w:r>
      <w:proofErr w:type="spellEnd"/>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proofErr w:type="spellStart"/>
      <w:r w:rsidR="007D6F31" w:rsidRPr="00A14ABE">
        <w:rPr>
          <w:rFonts w:ascii="Cascadia Code Light" w:hAnsi="Cascadia Code Light" w:cs="Cascadia Code Light"/>
          <w:sz w:val="16"/>
          <w:szCs w:val="16"/>
        </w:rPr>
        <w:t>armasubsets</w:t>
      </w:r>
      <w:proofErr w:type="spellEnd"/>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proofErr w:type="gramStart"/>
      <w:r>
        <w:rPr>
          <w:b/>
          <w:bCs/>
          <w:i/>
          <w:iCs/>
        </w:rPr>
        <w:t>ARIMA(</w:t>
      </w:r>
      <w:proofErr w:type="gramEnd"/>
      <w:r>
        <w:rPr>
          <w:b/>
          <w:bCs/>
          <w:i/>
          <w:iCs/>
        </w:rPr>
        <w:t xml:space="preserve">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7D6F31"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730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C22FEC"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proofErr w:type="gramStart"/>
      <w:r w:rsidR="007D6F31">
        <w:rPr>
          <w:b/>
          <w:bCs/>
          <w:i/>
          <w:iCs/>
        </w:rPr>
        <w:t>ARIMA(</w:t>
      </w:r>
      <w:proofErr w:type="gramEnd"/>
      <w:r w:rsidR="007D6F31">
        <w:rPr>
          <w:b/>
          <w:bCs/>
          <w:i/>
          <w:iCs/>
        </w:rPr>
        <w:t>9, 1, 12)</w:t>
      </w:r>
      <w:r w:rsidR="007D6F31">
        <w:t xml:space="preserve">, la ecuación sería como se muestra en la </w:t>
      </w:r>
      <w:r w:rsidR="007D6F31">
        <w:rPr>
          <w:b/>
          <w:bCs/>
          <w:i/>
          <w:iCs/>
        </w:rPr>
        <w:t>ecuación 4</w:t>
      </w:r>
      <w:r w:rsidR="007D6F31">
        <w:t>:</w:t>
      </w:r>
    </w:p>
    <w:p w14:paraId="7D6B60AE" w14:textId="03A45F67" w:rsidR="007D6F31" w:rsidRDefault="007D6F31" w:rsidP="008E0BC0">
      <w:pPr>
        <w:tabs>
          <w:tab w:val="left" w:pos="567"/>
        </w:tabs>
        <w:spacing w:line="240" w:lineRule="auto"/>
      </w:pPr>
      <w:r>
        <w:rPr>
          <w:noProof/>
        </w:rPr>
        <w:pict w14:anchorId="3A2AEDBA">
          <v:shape id="_x0000_s1039" type="#_x0000_t202" style="position:absolute;left:0;text-align:left;margin-left:513pt;margin-top:6.1pt;width:27.2pt;height:19.75pt;z-index:25167411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7D6F31"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w:t>
      </w:r>
      <w:r>
        <w:t xml:space="preserve">de </w:t>
      </w:r>
      <w:proofErr w:type="spellStart"/>
      <w:r w:rsidRPr="00A14ABE">
        <w:rPr>
          <w:rFonts w:ascii="Cascadia Code Light" w:hAnsi="Cascadia Code Light" w:cs="Cascadia Code Light"/>
          <w:sz w:val="16"/>
          <w:szCs w:val="16"/>
        </w:rPr>
        <w:t>armasubsets</w:t>
      </w:r>
      <w:proofErr w:type="spellEnd"/>
      <w:r>
        <w:t xml:space="preserve"> de la </w:t>
      </w:r>
      <w:r>
        <w:rPr>
          <w:b/>
          <w:bCs/>
          <w:i/>
          <w:iCs/>
        </w:rPr>
        <w:t xml:space="preserve">figura </w:t>
      </w:r>
      <w:r>
        <w:rPr>
          <w:b/>
          <w:bCs/>
          <w:i/>
          <w:iCs/>
        </w:rPr>
        <w:t>6</w:t>
      </w:r>
      <w:r>
        <w:t xml:space="preserve">, </w:t>
      </w:r>
      <w:r>
        <w:t xml:space="preserve">se identifica un modelo </w:t>
      </w:r>
      <w:proofErr w:type="gramStart"/>
      <w:r>
        <w:rPr>
          <w:b/>
          <w:bCs/>
          <w:i/>
          <w:iCs/>
        </w:rPr>
        <w:t>ARIMA(</w:t>
      </w:r>
      <w:proofErr w:type="gramEnd"/>
      <w:r>
        <w:rPr>
          <w:b/>
          <w:bCs/>
          <w:i/>
          <w:iCs/>
        </w:rPr>
        <w:t xml:space="preserve">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7A4B05" w:rsidP="008E0BC0">
      <w:pPr>
        <w:tabs>
          <w:tab w:val="left" w:pos="567"/>
        </w:tabs>
        <w:spacing w:line="240" w:lineRule="auto"/>
      </w:pPr>
      <w:r>
        <w:rPr>
          <w:noProof/>
        </w:rPr>
        <w:pict w14:anchorId="3A2AEDBA">
          <v:shape id="_x0000_s1040" type="#_x0000_t202" style="position:absolute;left:0;text-align:left;margin-left:513pt;margin-top:4.75pt;width:27.2pt;height:19.75pt;z-index:2516751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CA40EB"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48CF5353" w14:textId="11177124" w:rsidR="007A4B05" w:rsidRPr="00CA40EB" w:rsidRDefault="007A4B05" w:rsidP="008E0BC0">
      <w:pPr>
        <w:tabs>
          <w:tab w:val="left" w:pos="567"/>
        </w:tabs>
        <w:spacing w:line="240" w:lineRule="auto"/>
      </w:pPr>
      <w:r>
        <w:tab/>
        <w:t>Hecho lo anterior, se puede proceder ahora con el ajuste algunos modelos, como se muestra en la tercera sección.</w:t>
      </w:r>
    </w:p>
    <w:sectPr w:rsidR="007A4B05" w:rsidRPr="00CA40EB"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CommentText"/>
      </w:pPr>
      <w:r>
        <w:rPr>
          <w:rStyle w:val="CommentReference"/>
        </w:rPr>
        <w:annotationRef/>
      </w:r>
      <w:r>
        <w:t xml:space="preserve">¿Se debe presentar también la serie del logaritmo natural de la serie completa? Más abajo se presenta la gráfica de esta </w:t>
      </w:r>
      <w:proofErr w:type="gramStart"/>
      <w:r>
        <w:t>serie</w:t>
      </w:r>
      <w:proofErr w:type="gramEnd"/>
      <w:r>
        <w:t xml:space="preserve"> pero recortada.</w:t>
      </w:r>
    </w:p>
  </w:comment>
  <w:comment w:id="1" w:author="Simón Cuartas Rendón" w:date="2022-06-12T12:16:00Z" w:initials="SCR">
    <w:p w14:paraId="40E6AD67" w14:textId="44132782" w:rsidR="00F53B67" w:rsidRDefault="00F53B67">
      <w:pPr>
        <w:pStyle w:val="CommentText"/>
      </w:pPr>
      <w:r>
        <w:rPr>
          <w:rStyle w:val="CommentReference"/>
        </w:rPr>
        <w:annotationRef/>
      </w:r>
      <w:r>
        <w:t>¿Se puede dar el caso de que solo la tendencia o solo la estacionalidad sea global y la otra no?</w:t>
      </w:r>
    </w:p>
  </w:comment>
  <w:comment w:id="2" w:author="Simón Cuartas Rendón" w:date="2022-06-12T12:14:00Z" w:initials="SCR">
    <w:p w14:paraId="0F785388" w14:textId="77777777" w:rsidR="00F53B67" w:rsidRDefault="00F53B67" w:rsidP="00F53B67">
      <w:pPr>
        <w:pStyle w:val="CommentText"/>
        <w:numPr>
          <w:ilvl w:val="0"/>
          <w:numId w:val="15"/>
        </w:numPr>
      </w:pPr>
      <w:r>
        <w:rPr>
          <w:rStyle w:val="CommentReference"/>
        </w:rPr>
        <w:annotationRef/>
      </w:r>
      <w:r>
        <w:t>La media es ligeramente positiva. ¿Se debe hacer algún comentario relevante respecto a este hecho?</w:t>
      </w:r>
    </w:p>
    <w:p w14:paraId="446DED35" w14:textId="77638B5F" w:rsidR="00F53B67" w:rsidRDefault="00F53B67" w:rsidP="00F53B67">
      <w:pPr>
        <w:pStyle w:val="CommentText"/>
        <w:numPr>
          <w:ilvl w:val="0"/>
          <w:numId w:val="15"/>
        </w:numPr>
      </w:pPr>
      <w:r>
        <w:t>¿Es normal que la escala se reduzca tanto?</w:t>
      </w:r>
    </w:p>
  </w:comment>
  <w:comment w:id="3" w:author="Simón Cuartas Rendón" w:date="2022-06-11T19:18:00Z" w:initials="SCR">
    <w:p w14:paraId="31A3A005" w14:textId="7EEECA44" w:rsidR="002C564D" w:rsidRDefault="002C564D">
      <w:pPr>
        <w:pStyle w:val="CommentText"/>
      </w:pPr>
      <w:r>
        <w:rPr>
          <w:rStyle w:val="CommentReference"/>
        </w:rPr>
        <w:annotationRef/>
      </w:r>
      <w:r>
        <w:t>¿Sí es razonable plantear que la varianza es aproximadamente constante? En 2007 se ve una disminución importante y luego un incremento fuerte para luego presentar una varianza igual a la del inicio de la serie.</w:t>
      </w:r>
    </w:p>
  </w:comment>
  <w:comment w:id="4" w:author="Simón Cuartas Rendón" w:date="2022-06-11T19:30:00Z" w:initials="SCR">
    <w:p w14:paraId="7DBA802B" w14:textId="3CE25F93" w:rsidR="00EF4AEE" w:rsidRDefault="00EF4AEE">
      <w:pPr>
        <w:pStyle w:val="CommentText"/>
      </w:pPr>
      <w:r>
        <w:rPr>
          <w:rStyle w:val="CommentReference"/>
        </w:rPr>
        <w:annotationRef/>
      </w:r>
      <w:r>
        <w:t>¿Sí se puede decir que sea cola exponencial sinusoidal? Muestra valores positivos y negativos que no cambian consecutivamente y termina en k = 6 con un valor muy pequeño.</w:t>
      </w:r>
    </w:p>
  </w:comment>
  <w:comment w:id="5" w:author="Simón Cuartas Rendón" w:date="2022-06-11T21:05:00Z" w:initials="SCR">
    <w:p w14:paraId="70FC40EC" w14:textId="12C4AC80" w:rsidR="003C7DC2" w:rsidRDefault="003C7DC2" w:rsidP="008D48D9">
      <w:pPr>
        <w:pStyle w:val="CommentText"/>
        <w:numPr>
          <w:ilvl w:val="0"/>
          <w:numId w:val="14"/>
        </w:numPr>
      </w:pPr>
      <w:r>
        <w:rPr>
          <w:rStyle w:val="CommentReference"/>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CommentText"/>
        <w:numPr>
          <w:ilvl w:val="0"/>
          <w:numId w:val="14"/>
        </w:numPr>
      </w:pPr>
      <w:r>
        <w:t xml:space="preserve"> ¿El polinomio </w:t>
      </w:r>
      <w:proofErr w:type="gramStart"/>
      <w:r>
        <w:t>AR(</w:t>
      </w:r>
      <w:proofErr w:type="gramEnd"/>
      <w:r>
        <w:t>∞) corresponde a la suma hacia el final?</w:t>
      </w:r>
    </w:p>
    <w:p w14:paraId="6F809D88" w14:textId="2EE9F163" w:rsidR="00F53B67" w:rsidRDefault="00F53B67" w:rsidP="008D48D9">
      <w:pPr>
        <w:pStyle w:val="CommentText"/>
        <w:numPr>
          <w:ilvl w:val="0"/>
          <w:numId w:val="14"/>
        </w:numPr>
      </w:pPr>
      <w:r>
        <w:t xml:space="preserve"> En algunos documentos no se presenta Et como un proceso sino como una simple </w:t>
      </w:r>
      <w:proofErr w:type="spellStart"/>
      <w:r>
        <w:t>v.a.</w:t>
      </w:r>
      <w:proofErr w:type="spellEnd"/>
      <w:r>
        <w:t xml:space="preserve"> ¿Está bien así?</w:t>
      </w:r>
    </w:p>
    <w:p w14:paraId="4A3CA4BB" w14:textId="08E269A9" w:rsidR="008D48D9" w:rsidRDefault="008D48D9">
      <w:pPr>
        <w:pStyle w:val="CommentText"/>
      </w:pPr>
    </w:p>
  </w:comment>
  <w:comment w:id="6" w:author="Simón Cuartas Rendón" w:date="2022-06-11T21:45:00Z" w:initials="SCR">
    <w:p w14:paraId="372BBC1B" w14:textId="00507091" w:rsidR="00565EFF" w:rsidRPr="00565EFF" w:rsidRDefault="00565EFF">
      <w:pPr>
        <w:pStyle w:val="CommentText"/>
      </w:pPr>
      <w:r>
        <w:rPr>
          <w:rStyle w:val="CommentReference"/>
        </w:rPr>
        <w:annotationRef/>
      </w:r>
      <w:r>
        <w:t xml:space="preserve">En R se arrojan algunos </w:t>
      </w:r>
      <w:proofErr w:type="spellStart"/>
      <w:r>
        <w:rPr>
          <w:i/>
          <w:iCs/>
        </w:rPr>
        <w:t>warnings</w:t>
      </w:r>
      <w:proofErr w:type="spellEnd"/>
      <w:r>
        <w:t>. ¿Esto tiene algún problema?</w:t>
      </w:r>
      <w:r w:rsidR="00DB750C">
        <w:t xml:space="preserve"> </w:t>
      </w:r>
      <w:proofErr w:type="gramStart"/>
      <w:r w:rsidR="00DB750C">
        <w:t>Además</w:t>
      </w:r>
      <w:proofErr w:type="gramEnd"/>
      <w:r w:rsidR="00DB750C">
        <w:t xml:space="preserve"> los valores p está en el límite.</w:t>
      </w:r>
    </w:p>
  </w:comment>
  <w:comment w:id="7" w:author="Simón Cuartas Rendón" w:date="2022-06-11T22:28:00Z" w:initials="SCR">
    <w:p w14:paraId="5DDA5536" w14:textId="5DA81D41" w:rsidR="0044792C" w:rsidRDefault="0044792C">
      <w:pPr>
        <w:pStyle w:val="CommentText"/>
      </w:pPr>
      <w:r>
        <w:rPr>
          <w:rStyle w:val="CommentReference"/>
        </w:rPr>
        <w:annotationRef/>
      </w:r>
      <w:proofErr w:type="gramStart"/>
      <w:r>
        <w:t>¿Qué tratamiento se le debe dar a los valores p iguales a 0.</w:t>
      </w:r>
      <w:proofErr w:type="gramEnd"/>
      <w:r>
        <w:t>1?</w:t>
      </w:r>
    </w:p>
  </w:comment>
  <w:comment w:id="8" w:author="Simón Cuartas Rendón" w:date="2022-06-12T12:18:00Z" w:initials="SCR">
    <w:p w14:paraId="0D862C00" w14:textId="77777777" w:rsidR="00F53B67" w:rsidRDefault="00F53B67">
      <w:pPr>
        <w:pStyle w:val="CommentText"/>
      </w:pPr>
      <w:r>
        <w:rPr>
          <w:rStyle w:val="CommentReference"/>
        </w:rPr>
        <w:annotationRef/>
      </w:r>
      <w:r>
        <w:t xml:space="preserve">¿Es necesario cambiar el valor de los coeficientes por los presentados en </w:t>
      </w:r>
      <w:proofErr w:type="gramStart"/>
      <w:r>
        <w:t>la salidas</w:t>
      </w:r>
      <w:proofErr w:type="gramEnd"/>
      <w:r>
        <w:t xml:space="preserve"> de </w:t>
      </w:r>
      <w:r>
        <w:rPr>
          <w:b/>
          <w:bCs/>
          <w:i/>
          <w:iCs/>
        </w:rPr>
        <w:t>R</w:t>
      </w:r>
      <w:r>
        <w:t>? ¿O se debe dejar así tal cual, indicado?</w:t>
      </w:r>
    </w:p>
    <w:p w14:paraId="69AD5514" w14:textId="4F97CC51" w:rsidR="00F53B67" w:rsidRPr="00F53B67" w:rsidRDefault="00F53B6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1099" w14:textId="77777777" w:rsidR="009E2F7A" w:rsidRDefault="009E2F7A"/>
  </w:endnote>
  <w:endnote w:type="continuationSeparator" w:id="0">
    <w:p w14:paraId="427D0EB7" w14:textId="77777777" w:rsidR="009E2F7A" w:rsidRDefault="009E2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3241D" w14:textId="77777777" w:rsidR="009E2F7A" w:rsidRDefault="009E2F7A">
      <w:r>
        <w:separator/>
      </w:r>
    </w:p>
  </w:footnote>
  <w:footnote w:type="continuationSeparator" w:id="0">
    <w:p w14:paraId="637FD223" w14:textId="77777777" w:rsidR="009E2F7A" w:rsidRDefault="009E2F7A">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376A3370"/>
    <w:lvl w:ilvl="0" w:tplc="3EC2FE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66048"/>
    <w:rsid w:val="00067F9B"/>
    <w:rsid w:val="00076FEE"/>
    <w:rsid w:val="00080554"/>
    <w:rsid w:val="000B6FAC"/>
    <w:rsid w:val="000B7BE9"/>
    <w:rsid w:val="000D25C8"/>
    <w:rsid w:val="000D61DD"/>
    <w:rsid w:val="000F01B0"/>
    <w:rsid w:val="001001ED"/>
    <w:rsid w:val="00113B0D"/>
    <w:rsid w:val="00114E6C"/>
    <w:rsid w:val="0013300A"/>
    <w:rsid w:val="00133A8F"/>
    <w:rsid w:val="001363CA"/>
    <w:rsid w:val="00137ED7"/>
    <w:rsid w:val="0014194A"/>
    <w:rsid w:val="0014247F"/>
    <w:rsid w:val="001563D3"/>
    <w:rsid w:val="001564A2"/>
    <w:rsid w:val="00156F74"/>
    <w:rsid w:val="00160CFB"/>
    <w:rsid w:val="001633EE"/>
    <w:rsid w:val="00166F10"/>
    <w:rsid w:val="0018272E"/>
    <w:rsid w:val="00183978"/>
    <w:rsid w:val="001861E5"/>
    <w:rsid w:val="00191C5E"/>
    <w:rsid w:val="001932BD"/>
    <w:rsid w:val="00196799"/>
    <w:rsid w:val="001A320A"/>
    <w:rsid w:val="001A7A93"/>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2896"/>
    <w:rsid w:val="00297D3E"/>
    <w:rsid w:val="002A2AC6"/>
    <w:rsid w:val="002B44D3"/>
    <w:rsid w:val="002B73E0"/>
    <w:rsid w:val="002C49D1"/>
    <w:rsid w:val="002C564D"/>
    <w:rsid w:val="002C68FC"/>
    <w:rsid w:val="002D3845"/>
    <w:rsid w:val="002E100C"/>
    <w:rsid w:val="002E69B5"/>
    <w:rsid w:val="002F01DC"/>
    <w:rsid w:val="002F15B8"/>
    <w:rsid w:val="00307F7C"/>
    <w:rsid w:val="003117E4"/>
    <w:rsid w:val="00315BAB"/>
    <w:rsid w:val="00321F94"/>
    <w:rsid w:val="003228F2"/>
    <w:rsid w:val="00322B12"/>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414BAE"/>
    <w:rsid w:val="004261ED"/>
    <w:rsid w:val="00431A49"/>
    <w:rsid w:val="004369DC"/>
    <w:rsid w:val="0044792C"/>
    <w:rsid w:val="00472664"/>
    <w:rsid w:val="004730BA"/>
    <w:rsid w:val="004768C0"/>
    <w:rsid w:val="0048110F"/>
    <w:rsid w:val="004972BF"/>
    <w:rsid w:val="004A1BF1"/>
    <w:rsid w:val="004A30DE"/>
    <w:rsid w:val="004A6755"/>
    <w:rsid w:val="004B530E"/>
    <w:rsid w:val="004C2319"/>
    <w:rsid w:val="004C2B8A"/>
    <w:rsid w:val="004D01D3"/>
    <w:rsid w:val="004E3897"/>
    <w:rsid w:val="004F4DCE"/>
    <w:rsid w:val="005015F8"/>
    <w:rsid w:val="00503F0C"/>
    <w:rsid w:val="005040E9"/>
    <w:rsid w:val="00523AA5"/>
    <w:rsid w:val="0052417A"/>
    <w:rsid w:val="0053017A"/>
    <w:rsid w:val="00532456"/>
    <w:rsid w:val="00550BC7"/>
    <w:rsid w:val="00556AA1"/>
    <w:rsid w:val="00564DA1"/>
    <w:rsid w:val="00565EFF"/>
    <w:rsid w:val="00570F3F"/>
    <w:rsid w:val="00573521"/>
    <w:rsid w:val="00576494"/>
    <w:rsid w:val="00582009"/>
    <w:rsid w:val="00593D8D"/>
    <w:rsid w:val="005A552A"/>
    <w:rsid w:val="005B6B1F"/>
    <w:rsid w:val="005C1464"/>
    <w:rsid w:val="005C51E3"/>
    <w:rsid w:val="005C67B6"/>
    <w:rsid w:val="005F24D7"/>
    <w:rsid w:val="005F47E6"/>
    <w:rsid w:val="005F7BF1"/>
    <w:rsid w:val="00602018"/>
    <w:rsid w:val="006144CC"/>
    <w:rsid w:val="00630D37"/>
    <w:rsid w:val="00631424"/>
    <w:rsid w:val="00633635"/>
    <w:rsid w:val="00636916"/>
    <w:rsid w:val="00640598"/>
    <w:rsid w:val="00641295"/>
    <w:rsid w:val="00651095"/>
    <w:rsid w:val="00653A12"/>
    <w:rsid w:val="0065589B"/>
    <w:rsid w:val="006575A9"/>
    <w:rsid w:val="00674853"/>
    <w:rsid w:val="00675FAE"/>
    <w:rsid w:val="006832F1"/>
    <w:rsid w:val="00684274"/>
    <w:rsid w:val="00695F16"/>
    <w:rsid w:val="006977EF"/>
    <w:rsid w:val="006A3E6C"/>
    <w:rsid w:val="006A5B91"/>
    <w:rsid w:val="006B56BA"/>
    <w:rsid w:val="006D0EE0"/>
    <w:rsid w:val="006D4695"/>
    <w:rsid w:val="006E1349"/>
    <w:rsid w:val="007031B1"/>
    <w:rsid w:val="007052AF"/>
    <w:rsid w:val="007072B8"/>
    <w:rsid w:val="007258D1"/>
    <w:rsid w:val="00732F55"/>
    <w:rsid w:val="0073303E"/>
    <w:rsid w:val="00744618"/>
    <w:rsid w:val="00756826"/>
    <w:rsid w:val="00757E66"/>
    <w:rsid w:val="00771A64"/>
    <w:rsid w:val="007822CE"/>
    <w:rsid w:val="00793C01"/>
    <w:rsid w:val="007954B9"/>
    <w:rsid w:val="007A43A3"/>
    <w:rsid w:val="007A4B05"/>
    <w:rsid w:val="007A5E6D"/>
    <w:rsid w:val="007B2138"/>
    <w:rsid w:val="007B40D2"/>
    <w:rsid w:val="007C14F3"/>
    <w:rsid w:val="007C343F"/>
    <w:rsid w:val="007D17DD"/>
    <w:rsid w:val="007D65E1"/>
    <w:rsid w:val="007D6F31"/>
    <w:rsid w:val="007E7F95"/>
    <w:rsid w:val="007F0AF4"/>
    <w:rsid w:val="007F6B19"/>
    <w:rsid w:val="0081485A"/>
    <w:rsid w:val="0081797C"/>
    <w:rsid w:val="00827CF3"/>
    <w:rsid w:val="0083684E"/>
    <w:rsid w:val="008427E8"/>
    <w:rsid w:val="00855867"/>
    <w:rsid w:val="0086058D"/>
    <w:rsid w:val="00877C47"/>
    <w:rsid w:val="00877FBD"/>
    <w:rsid w:val="008824C7"/>
    <w:rsid w:val="008850C5"/>
    <w:rsid w:val="00896CFC"/>
    <w:rsid w:val="008A6D46"/>
    <w:rsid w:val="008A76D8"/>
    <w:rsid w:val="008B0E9C"/>
    <w:rsid w:val="008D48D9"/>
    <w:rsid w:val="008E0BC0"/>
    <w:rsid w:val="008E0CA4"/>
    <w:rsid w:val="008E5FFE"/>
    <w:rsid w:val="00904A66"/>
    <w:rsid w:val="00921AFF"/>
    <w:rsid w:val="00924572"/>
    <w:rsid w:val="0094351A"/>
    <w:rsid w:val="009449CB"/>
    <w:rsid w:val="00945684"/>
    <w:rsid w:val="00945F62"/>
    <w:rsid w:val="00954DF3"/>
    <w:rsid w:val="00961651"/>
    <w:rsid w:val="0096488B"/>
    <w:rsid w:val="00967AF2"/>
    <w:rsid w:val="009852A9"/>
    <w:rsid w:val="0099011F"/>
    <w:rsid w:val="00993AFB"/>
    <w:rsid w:val="009A08F0"/>
    <w:rsid w:val="009A6078"/>
    <w:rsid w:val="009C5437"/>
    <w:rsid w:val="009C56ED"/>
    <w:rsid w:val="009D2EAD"/>
    <w:rsid w:val="009D685C"/>
    <w:rsid w:val="009E2F7A"/>
    <w:rsid w:val="009E3844"/>
    <w:rsid w:val="009F07C6"/>
    <w:rsid w:val="009F7D5F"/>
    <w:rsid w:val="00A00F3F"/>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617D"/>
    <w:rsid w:val="00A808DF"/>
    <w:rsid w:val="00A94ADD"/>
    <w:rsid w:val="00AA09C6"/>
    <w:rsid w:val="00AA0A96"/>
    <w:rsid w:val="00AB6C80"/>
    <w:rsid w:val="00AC317C"/>
    <w:rsid w:val="00AD0856"/>
    <w:rsid w:val="00AD5ED7"/>
    <w:rsid w:val="00AE0382"/>
    <w:rsid w:val="00AE0E38"/>
    <w:rsid w:val="00AE392F"/>
    <w:rsid w:val="00B03590"/>
    <w:rsid w:val="00B05344"/>
    <w:rsid w:val="00B10AED"/>
    <w:rsid w:val="00B146C1"/>
    <w:rsid w:val="00B15BC4"/>
    <w:rsid w:val="00B25E2B"/>
    <w:rsid w:val="00B26556"/>
    <w:rsid w:val="00B36618"/>
    <w:rsid w:val="00B43D21"/>
    <w:rsid w:val="00B54F54"/>
    <w:rsid w:val="00B567D1"/>
    <w:rsid w:val="00B7345E"/>
    <w:rsid w:val="00B8641D"/>
    <w:rsid w:val="00B90F73"/>
    <w:rsid w:val="00B9661E"/>
    <w:rsid w:val="00BA6D3D"/>
    <w:rsid w:val="00BB3601"/>
    <w:rsid w:val="00BC5467"/>
    <w:rsid w:val="00BD1CBE"/>
    <w:rsid w:val="00BE1DA5"/>
    <w:rsid w:val="00BE4A07"/>
    <w:rsid w:val="00BF2FC5"/>
    <w:rsid w:val="00BF50DE"/>
    <w:rsid w:val="00C02DA4"/>
    <w:rsid w:val="00C03AF1"/>
    <w:rsid w:val="00C05865"/>
    <w:rsid w:val="00C07E77"/>
    <w:rsid w:val="00C22FEC"/>
    <w:rsid w:val="00C26338"/>
    <w:rsid w:val="00C324EB"/>
    <w:rsid w:val="00C36A9D"/>
    <w:rsid w:val="00C50996"/>
    <w:rsid w:val="00C51E72"/>
    <w:rsid w:val="00C54839"/>
    <w:rsid w:val="00C568BB"/>
    <w:rsid w:val="00C806DB"/>
    <w:rsid w:val="00C82247"/>
    <w:rsid w:val="00C863A6"/>
    <w:rsid w:val="00C911BF"/>
    <w:rsid w:val="00CA40EB"/>
    <w:rsid w:val="00CA7DC2"/>
    <w:rsid w:val="00CB40AF"/>
    <w:rsid w:val="00CC065B"/>
    <w:rsid w:val="00CF3350"/>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E124A"/>
    <w:rsid w:val="00DE18EE"/>
    <w:rsid w:val="00DE78AA"/>
    <w:rsid w:val="00DF0170"/>
    <w:rsid w:val="00DF0336"/>
    <w:rsid w:val="00E13D46"/>
    <w:rsid w:val="00E27D07"/>
    <w:rsid w:val="00E56714"/>
    <w:rsid w:val="00E667E1"/>
    <w:rsid w:val="00E678B9"/>
    <w:rsid w:val="00E72224"/>
    <w:rsid w:val="00E762D3"/>
    <w:rsid w:val="00E83FD6"/>
    <w:rsid w:val="00E87875"/>
    <w:rsid w:val="00EA3C87"/>
    <w:rsid w:val="00EA4BC0"/>
    <w:rsid w:val="00EA6F37"/>
    <w:rsid w:val="00EB31B3"/>
    <w:rsid w:val="00EB51F4"/>
    <w:rsid w:val="00EC0C8C"/>
    <w:rsid w:val="00EC4BE0"/>
    <w:rsid w:val="00ED6410"/>
    <w:rsid w:val="00EF01BE"/>
    <w:rsid w:val="00EF23B8"/>
    <w:rsid w:val="00EF4AEE"/>
    <w:rsid w:val="00EF4D8A"/>
    <w:rsid w:val="00F012BB"/>
    <w:rsid w:val="00F10278"/>
    <w:rsid w:val="00F14064"/>
    <w:rsid w:val="00F15F60"/>
    <w:rsid w:val="00F24205"/>
    <w:rsid w:val="00F34E0E"/>
    <w:rsid w:val="00F35BA2"/>
    <w:rsid w:val="00F53B67"/>
    <w:rsid w:val="00F617AB"/>
    <w:rsid w:val="00F74990"/>
    <w:rsid w:val="00F869BF"/>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 w:type="character" w:styleId="CommentReference">
    <w:name w:val="annotation reference"/>
    <w:basedOn w:val="DefaultParagraphFont"/>
    <w:uiPriority w:val="99"/>
    <w:semiHidden/>
    <w:unhideWhenUsed/>
    <w:rsid w:val="002C564D"/>
    <w:rPr>
      <w:sz w:val="16"/>
      <w:szCs w:val="16"/>
    </w:rPr>
  </w:style>
  <w:style w:type="paragraph" w:styleId="CommentText">
    <w:name w:val="annotation text"/>
    <w:basedOn w:val="Normal"/>
    <w:link w:val="CommentTextChar"/>
    <w:uiPriority w:val="99"/>
    <w:semiHidden/>
    <w:unhideWhenUsed/>
    <w:rsid w:val="002C564D"/>
    <w:pPr>
      <w:spacing w:line="240" w:lineRule="auto"/>
    </w:pPr>
  </w:style>
  <w:style w:type="character" w:customStyle="1" w:styleId="CommentTextChar">
    <w:name w:val="Comment Text Char"/>
    <w:basedOn w:val="DefaultParagraphFont"/>
    <w:link w:val="CommentText"/>
    <w:uiPriority w:val="99"/>
    <w:semiHidden/>
    <w:rsid w:val="002C564D"/>
    <w:rPr>
      <w:lang w:val="es-ES" w:eastAsia="es-ES"/>
    </w:rPr>
  </w:style>
  <w:style w:type="paragraph" w:styleId="CommentSubject">
    <w:name w:val="annotation subject"/>
    <w:basedOn w:val="CommentText"/>
    <w:next w:val="CommentText"/>
    <w:link w:val="CommentSubjectChar"/>
    <w:uiPriority w:val="99"/>
    <w:semiHidden/>
    <w:unhideWhenUsed/>
    <w:rsid w:val="002C564D"/>
    <w:rPr>
      <w:b/>
      <w:bCs/>
    </w:rPr>
  </w:style>
  <w:style w:type="character" w:customStyle="1" w:styleId="CommentSubjectChar">
    <w:name w:val="Comment Subject Char"/>
    <w:basedOn w:val="CommentTextChar"/>
    <w:link w:val="CommentSubject"/>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customXml" Target="ink/ink3.xml"/><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customXml" Target="ink/ink9.xml"/><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customXml" Target="ink/ink4.xml"/><Relationship Id="rId36" Type="http://schemas.openxmlformats.org/officeDocument/2006/relationships/image" Target="media/image17.png"/><Relationship Id="rId49" Type="http://schemas.microsoft.com/office/2011/relationships/people" Target="people.xml"/><Relationship Id="rId10" Type="http://schemas.openxmlformats.org/officeDocument/2006/relationships/comments" Target="comments.xml"/><Relationship Id="rId19" Type="http://schemas.openxmlformats.org/officeDocument/2006/relationships/customXml" Target="ink/ink2.xml"/><Relationship Id="rId31" Type="http://schemas.openxmlformats.org/officeDocument/2006/relationships/customXml" Target="ink/ink6.xml"/><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customXml" Target="ink/ink5.xml"/><Relationship Id="rId35" Type="http://schemas.openxmlformats.org/officeDocument/2006/relationships/customXml" Target="ink/ink8.xml"/><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customXml" Target="ink/ink1.xml"/><Relationship Id="rId25" Type="http://schemas.openxmlformats.org/officeDocument/2006/relationships/image" Target="media/image11.png"/><Relationship Id="rId33" Type="http://schemas.openxmlformats.org/officeDocument/2006/relationships/customXml" Target="ink/ink7.xml"/><Relationship Id="rId38" Type="http://schemas.openxmlformats.org/officeDocument/2006/relationships/image" Target="media/image18.png"/><Relationship Id="rId46" Type="http://schemas.openxmlformats.org/officeDocument/2006/relationships/image" Target="media/image25.png"/><Relationship Id="rId20" Type="http://schemas.openxmlformats.org/officeDocument/2006/relationships/image" Target="media/image7.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0:37.482"/>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531 142,'-3'0,"-4"0,-4 0,-3-3,-2-1,-1 0,-1 1,-1 1,1 1,-1 0,4-2,1-1,-3 0,-1 1,-2 1,1 1,0 1,0-1,4 4,1 1,0 0,2 3,4 2,-1 0,-1 1,-2 0,1 0,3 2,-1-1,1 1,3 0,1 2,-1-1,0-1,1 2,1 0,1 2,1 1,-2-3,-1-1,0 1,1 1,1 0,1 2,0 0,1 0,0 4,3 1,1 2,1 1,1-4,0-3,-1-2,-1 1,2-4,-1-1,-1 1,2-2,0 0,-1 1,2 2,2-2,0 1,1-3,3-2,-2 0,1-2,1-1,-2 1,1 3,0 0,3-2,0-2,2 1,0 2,0 1,1-2,0-2,-3 1,-1 0,0-1,1-2,0-1,-2-4,0-2,1 0,0 1,2 0,0 2,-1-3,-2-1,1 1,-2-2,-1 0,5-2,-1-2,0 0,1 2,-3-1,-1 1,-1 0,-4-3,-2-2,0 1,0 0,2 1,0 1,-1-2,1 1,-1 0,-1-1,-1-3,1 3,3 2,0 1,-1-2,-2-1,-2-3,-1 0,1 1,2 0,-2 0,0-4,2 2,0-1,-1 1,0-1,-2 1,-1-2,0 1,-1 0,0-1,0 1,-1-1,-2 0,-4 4,-1 0,1 0,-2 3,2-1,1 0,2-2,-1 2,-1-1,2 0,-2 2,-3 2,1 1,-3-3,2-1,-1 1,-2 2,1 0,3-2,-1 2,-1 1,-3 3,-1 2,-2 2,2-3,0 0,0 1,-1 0,-1 2,0 0,-1 0,-1 1,0 0,1 0,-1 0,0 0,0 1,0-1,1 0,-1 0,1 0,-1 0,0 0,1 0,2 3,4 4,1 0,0 0,-3-2,-1-1,2 1,-1 0,2 2,4 3,-1-1,-2 2,1 2,-1-2,1 1,2 1,0-2,0 1,2 1,-1-2,0 0,-2-1,0 0,2 2,2 1,-1-1,-1 0,2 1,1 2,-2-2,0-1,1 2,-2-3,0 1,1 0,2 3,0 0,2 1,1 1,-1 1,2 0,-1-1,0 1,0 0,1 0,2 0,4-1,0 1,0-1,4 1,4-3,-1-2,-3 1,-1 0,2-1,1-4,2-3,1-3,-2 2,-1 3,1-1,1-1,1-1,1-2,-3 2,-1-1,1 0,1-1,1-1,0-1,1-1,0 1,1-2,0 1,0 0,0 0,-1 0,1 0,0 0,-1 0,1 0,0 0,-1 0,1 0,0 0,-4-3,0-1,-3-3,-1 0,-1-2,0 0,-1 0,1-3,-1-2,-2-1,1 2,2-1,1 0,-3-1,1 2,-1 1,-1-2,-2 0,1 2,0-1,-1 0,2 2,0-1,1 2,1 0,-2-1,-2-3,1 0,4 1,-1-1,-1 1,-1-2,-3-1,-1-1,-2 0,1 0,-2-1,1 0,0 1,-1-1,1 0,-3 4,-1 0,0 0,-3 2,1 1,1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0:29.738"/>
    </inkml:context>
    <inkml:brush xml:id="br0">
      <inkml:brushProperty name="width" value="0.1" units="cm"/>
      <inkml:brushProperty name="height" value="0.6" units="cm"/>
      <inkml:brushProperty name="color" value="#00A0D7"/>
      <inkml:brushProperty name="ignorePressure" value="1"/>
      <inkml:brushProperty name="inkEffects" value="pencil"/>
    </inkml:brush>
  </inkml:definitions>
  <inkml:trace contextRef="#ctx0" brushRef="#br0">0 334,'3'0,"4"0,4 0,3 0,2 0,1 0,-2-3,0-1,-1 1,1 0,1 0,1 2,0 0,1 1,-1 0,1 0,0 0,-1 1,1-1,0 0,-1 0,1 0,0 0,-1 0,-2-3,-1-1,0 0,0 1,1 1,2 1,0 0,0 1,1 0,2 0,2 0,-3-3,-2-1,2 1,1-3,0 0,-1 1,0 1,0 2,-1 0,0 2,0-1,-1 2,1-1,-4-3,0-1,0 0,0 1,2 1,0 1,1-3,0 0,1 0,0 1,-1 1,1 1,0 0,3 1,0-3,1-1,-2 1,0 0,-1 1,0 1,-1 0,-4-2,0-1,-1 0,2 1,0 1,1 1,1 1,-3-4,0 1,0-1,1 1,0 1,2 1,0 0,0 1,1 0,0 0,-1 0,1 0,0 1,0-1,-1 0,1 0,-3-3,-2-1,1 0,1 1,0 1,1 1,-2-3,0-1,0 1,0 1,2 1,0 1,1 0,1 1,-1 0,-2-2,-1-2,0 0,1 1,0 1,5 1,0 0,2 1,-2 0,0 0,2 0,1 0,-4-2,-2-2,-2 0,1 1,0 1,1 1,0 0,-3-2,-1-1,4 0,2 1,-3-2,-1 0,1 1,-1 0,1 2,1 1,0 1,1-1,-1 2,1-1,0 0,-1 0,1 0,0 0,0 0,-1 0,1 0,-1 0,1 0,0 0,-1 0,1 0,-1 0,1 0,0 0,-1-3,4 0,1-1,-1 1,0 1,-1 0,-1 2,-1-1,0 1,-1 0,1 1,0-1,-1 0,0 0,1 0,-1 0,1 0,0 0,-1 0,1 0,0 0,-1 0,1-3,0-1,-1 0,1 1,-1 0,1 2,0-3,-1 0,1 0,0 1,-1 1,1 1,0 1,-1 0,1 0,-1 0,-2-3,-1-1,-1 1,2 0,1 1,0 0,-2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0:27.407"/>
    </inkml:context>
    <inkml:brush xml:id="br0">
      <inkml:brushProperty name="width" value="0.1" units="cm"/>
      <inkml:brushProperty name="height" value="0.6" units="cm"/>
      <inkml:brushProperty name="color" value="#00A0D7"/>
      <inkml:brushProperty name="ignorePressure" value="1"/>
      <inkml:brushProperty name="inkEffects" value="pencil"/>
    </inkml:brush>
  </inkml:definitions>
  <inkml:trace contextRef="#ctx0" brushRef="#br0">1 1,'3'0,"4"0,3 0,4 0,2 0,2 0,0 0,0 0,1 0,-1 0,0 0,0 0,0 0,0 0,-1 0,1 0,-3 3,-2 1,1 0,0-1,-1 2,-1 0,1 0,2-1,0-2,1-1,2 0,-1-1,-2 3,-1 0,0 1,1-1,0-1,2-1,-1 0,2-1,0 0,-4 3,0 1,0-1,1 0,0-1,2 0,0-2,0 1,-2 2,-2 0,1 1,1-1,1-1,0-1,1 0,0-1,1 0,0 0,0 0,-1 0,1-1,-3 4,-1 1,0 0,0-1,2-1,0 0,1-2,0 1,1-1,-1-1,1 1,0 0,0 0,0 0,-1 0,-2 3,-2 1,1-1,1 1,1-2,0-1,1 0,-3 2,0 1,0 0,0-1,2 2,0 0,1 0,1-2,-1-1,1 0,0 1,0 1,0 0,-1-1,1-1,-3 2,-1 0,-1 0,2 2,0 0,1-1,1-1,4-2,0-1,1 0,-1-1,-1 0,-1-1,-1 1,-3 3,-4 4,-1 1,0-1,3-2,1-1,1-2,2 2,0 0,-2 3,-1-1,0 0,1-2,-3 2,1-1,0-1,2 0,0-2,1-1,-2 2,0 4,0 1,1-2,0-1,2-2,-3 2,-1 0,1 0,1-2,1 2,0 0,4 2,1 0,1-1,-1-2,-1-1,-1 1,-4 4,-1-1,0 0,1-2,0-2,1-1,1-1,0-1,1 0,0-1,-1 1,1 3,0 0,0 1,-1-1,-2 2,-1 1,0-2,0 0,2-2,0 0,1-2,0 0,1 3,0 1,-1-1,1 0,0-1,0-1,-1 0,1-1,0 0,-1 0,1 0,0 0,-1 0,1 0,-3 3,-2 1,1-1,0 0,2 0,0-2,1 0,1-1,-1 0,1 0,0 0,-3-1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6:45.092"/>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6:44.231"/>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6:43.491"/>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0:46:19.308"/>
    </inkml:context>
    <inkml:brush xml:id="br0">
      <inkml:brushProperty name="width" value="0.05" units="cm"/>
      <inkml:brushProperty name="height" value="0.05" units="cm"/>
      <inkml:brushProperty name="color" value="#E71224"/>
    </inkml:brush>
  </inkml:definitions>
  <inkml:trace contextRef="#ctx0" brushRef="#br0">1 1 24575,'9'193'0,"8"14"0,-7-98 0,7-21-1365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0:46:18.207"/>
    </inkml:context>
    <inkml:brush xml:id="br0">
      <inkml:brushProperty name="width" value="0.05" units="cm"/>
      <inkml:brushProperty name="height" value="0.05" units="cm"/>
      <inkml:brushProperty name="color" value="#E71224"/>
    </inkml:brush>
  </inkml:definitions>
  <inkml:trace contextRef="#ctx0" brushRef="#br0">7 1 24575,'-7'119'0,"7"73"-1365,0-184-5461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0:46:14.879"/>
    </inkml:context>
    <inkml:brush xml:id="br0">
      <inkml:brushProperty name="width" value="0.05" units="cm"/>
      <inkml:brushProperty name="height" value="0.05" units="cm"/>
      <inkml:brushProperty name="color" value="#E71224"/>
    </inkml:brush>
  </inkml:definitions>
  <inkml:trace contextRef="#ctx0" brushRef="#br0">0 0 24575,'9'46'0,"-6"-16"0,8 46 0,3 22 0,-14-16-1365,0-74-5461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10</TotalTime>
  <Pages>6</Pages>
  <Words>3501</Words>
  <Characters>19261</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22717</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3</cp:revision>
  <cp:lastPrinted>2022-06-12T17:10:00Z</cp:lastPrinted>
  <dcterms:created xsi:type="dcterms:W3CDTF">2022-06-12T17:09:00Z</dcterms:created>
  <dcterms:modified xsi:type="dcterms:W3CDTF">2022-06-12T17:19:00Z</dcterms:modified>
</cp:coreProperties>
</file>