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dxa" w:w="10000"/>
            <w:shd w:color="1B3A5C" w:val="solid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36"/>
                <w:szCs w:val="36"/>
              </w:rPr>
              <w:t xml:space="preserve">DAX</w:t>
            </w:r>
            <w:r>
              <w:rPr>
                <w:rFonts w:ascii="Calibri" w:cs="Calibri" w:eastAsia="Calibri" w:hAnsi="Calibri"/>
                <w:color w:val="D6E4F0"/>
                <w:sz w:val="28"/>
                <w:szCs w:val="28"/>
              </w:rPr>
              <w:t xml:space="preserve">  |  Meeting Prep Brief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{{clientName}}</w:t>
            </w:r>
            <w:r>
              <w:rPr>
                <w:rFonts w:ascii="Calibri" w:cs="Calibri" w:eastAsia="Calibri" w:hAnsi="Calibri"/>
                <w:color w:val="D6E4F0"/>
                <w:sz w:val="22"/>
                <w:szCs w:val="22"/>
              </w:rPr>
              <w:t xml:space="preserve">  |  {{meetingDate}}{{meetingTime}}</w:t>
            </w:r>
          </w:p>
        </w:tc>
      </w:tr>
    </w:tbl>
    <w:p>
      <w:pPr>
        <w:spacing w:after="150"/>
      </w:pPr>
    </w:p>
    <w:p>
      <w:pPr>
        <w:pBdr>
          <w:bottom w:val="single" w:color="2E6DA4" w:sz="2"/>
        </w:pBdr>
        <w:spacing w:after="100" w:before="25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Client Snapshot</w:t>
      </w: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Account: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{{accountNumber}}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Risk: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{{riskProfile}}</w:t>
            </w:r>
          </w:p>
        </w:tc>
      </w:tr>
      <w:tr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Objective: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{{investmentObjective}}</w:t>
            </w:r>
          </w:p>
        </w:tc>
        <w:tc>
          <w:tcPr>
            <w:tcW w:type="dxa" w:w="18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19"/>
                <w:szCs w:val="19"/>
              </w:rPr>
              <w:t xml:space="preserve">Horizon:</w:t>
            </w:r>
          </w:p>
        </w:tc>
        <w:tc>
          <w:tcPr>
            <w:tcW w:type="dxa" w:w="3200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{{timeHorizon}}</w:t>
            </w:r>
          </w:p>
        </w:tc>
      </w:tr>
    </w:tbl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Interests: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{{tags}}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Background: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{{backgroundInfo}}</w:t>
      </w:r>
    </w:p>
    <w:p>
      <w:pPr>
        <w:spacing w:after="80"/>
      </w:pPr>
    </w:p>
    <w:p>
      <w:pPr>
        <w:pBdr>
          <w:bottom w:val="single" w:color="2E6DA4" w:sz="2"/>
        </w:pBdr>
        <w:spacing w:after="100" w:before="25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Market Context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SPY (S&amp;P 500):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{{benchmarkToday}}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Portfolio Value: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{{portfolioValue}}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Top Holding: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{{topHolding}}</w:t>
      </w:r>
    </w:p>
    <w:p>
      <w:pPr>
        <w:spacing w:after="80"/>
      </w:pPr>
    </w:p>
    <w:p>
      <w:pPr>
        <w:pBdr>
          <w:bottom w:val="single" w:color="2E6DA4" w:sz="2"/>
        </w:pBdr>
        <w:spacing w:after="100" w:before="25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Last Meeting Notes</w:t>
      </w:r>
    </w:p>
    <w:p>
      <w:p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{{lastMeetingNotes}}</w:t>
      </w:r>
    </w:p>
    <w:p>
      <w:pPr>
        <w:spacing w:after="80"/>
      </w:pPr>
    </w:p>
    <w:p>
      <w:pPr>
        <w:pBdr>
          <w:bottom w:val="single" w:color="2E6DA4" w:sz="2"/>
        </w:pBdr>
        <w:spacing w:after="100" w:before="25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Outstanding Action Items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{{action1}}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{{action2}}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{{action3}}</w:t>
      </w:r>
    </w:p>
    <w:p>
      <w:pPr>
        <w:spacing w:after="80"/>
      </w:pPr>
    </w:p>
    <w:p>
      <w:pPr>
        <w:pBdr>
          <w:bottom w:val="single" w:color="2E6DA4" w:sz="2"/>
        </w:pBdr>
        <w:spacing w:after="100" w:before="25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Next Scheduled Meeting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C3E50"/>
          <w:sz w:val="20"/>
          <w:szCs w:val="20"/>
        </w:rPr>
        <w:t xml:space="preserve">{{nextMeetingDate}}</w:t>
      </w:r>
    </w:p>
    <w:p>
      <w:pPr>
        <w:spacing w:after="80"/>
      </w:pPr>
    </w:p>
    <w:p>
      <w:pPr>
        <w:pBdr>
          <w:bottom w:val="single" w:color="2E6DA4" w:sz="2"/>
        </w:pBdr>
        <w:spacing w:after="100" w:before="25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Key Talking Points</w:t>
      </w:r>
    </w:p>
    <w:p>
      <w:pPr>
        <w:spacing w:after="60"/>
      </w:pPr>
      <w:r>
        <w:rPr>
          <w:rFonts w:ascii="Calibri" w:cs="Calibri" w:eastAsia="Calibri" w:hAnsi="Calibri"/>
          <w:color w:val="2C3E50"/>
          <w:sz w:val="20"/>
          <w:szCs w:val="20"/>
        </w:rPr>
        <w:t xml:space="preserve">{{talkingPoints}}</w:t>
      </w:r>
    </w:p>
    <w:p>
      <w:pPr>
        <w:spacing w:after="150"/>
      </w:pPr>
    </w:p>
    <w:tbl>
      <w:tblPr>
        <w:tblW w:type="pct" w:w="100%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"/>
      </w:tblGrid>
      <w:tr>
        <w:tc>
          <w:tcPr>
            <w:tcW w:type="dxa" w:w="10000"/>
            <w:shd w:color="1B3A5C" w:val="solid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D6E4F0"/>
                <w:sz w:val="17"/>
                <w:szCs w:val="17"/>
              </w:rPr>
              <w:t xml:space="preserve">Prepared by {{advisorName}}  |  {{reportDate}}  |  Powered by DAX — Dakona LLC</w:t>
            </w:r>
          </w:p>
        </w:tc>
      </w:tr>
    </w:tbl>
    <w:sectPr>
      <w:pgSz w:w="11906" w:h="16838" w:orient="portrait"/>
      <w:pgMar w:top="600" w:right="800" w:bottom="6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2026-03-24T20:55:31.339Z</dcterms:created>
  <dcterms:modified xsi:type="dcterms:W3CDTF">2026-03-24T20:55:31.347Z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