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jc w:val="center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0"/>
          <w:szCs w:val="40"/>
          <w:lang w:val="en-US" w:eastAsia="zh-CN"/>
        </w:rPr>
        <w:t>江苏银行房租贷产品方案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  <w:t>一、产品介绍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</w:rPr>
        <w:t>江苏银行房租贷是一款面向优质个人租客的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信用类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消费信贷产品。租客通过向我行申请专项贷款，用于一次性支付房屋年租金；贷款资金采用受托支付方式直接划付至业主在我行开立的对公账户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；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业主通过贴息方式承担贷款利息，使租客享受零利息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无感贷款的租房体验。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center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  <w:t>江苏银行房租贷产品要素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33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年利率</w:t>
            </w:r>
          </w:p>
        </w:tc>
        <w:tc>
          <w:tcPr>
            <w:tcW w:w="33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3.5%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贷款金额</w:t>
            </w:r>
          </w:p>
        </w:tc>
        <w:tc>
          <w:tcPr>
            <w:tcW w:w="33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一次性年付租金金额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贷款期数</w:t>
            </w:r>
          </w:p>
        </w:tc>
        <w:tc>
          <w:tcPr>
            <w:tcW w:w="33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12期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还款方式</w:t>
            </w:r>
          </w:p>
        </w:tc>
        <w:tc>
          <w:tcPr>
            <w:tcW w:w="33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等额本金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贴息模式</w:t>
            </w:r>
          </w:p>
        </w:tc>
        <w:tc>
          <w:tcPr>
            <w:tcW w:w="33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</w:rPr>
              <w:t>业主贴息采用前端一次性预收模式</w:t>
            </w: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在放款同时，按</w:t>
            </w:r>
            <w:r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放款金额的1.89%</w:t>
            </w: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划拨回行作为预收利息</w:t>
            </w:r>
            <w:r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（按等额本金还款方式，折算年化利率为3.5%）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  <w:t>二、案例分析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（一）场景设定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假设租客每月租金5000元，年总租金60000元，若业主对一次性年付租金客户提供97折优惠，优惠后年租金为58200元（相当于每月支付4850元，每月优惠150元，全年共优惠1800元）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（二）租客端收益分析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租客可通过三种方式支付租金。正常月付模式下每年支付总费用为60000元，每月支付5000元。一次性年付97折模式下每年支付总费用为58200元，但需前端一次性支付。贷款一次性年付97折模式下每年支付总费用同样为58200元，前端一次性支付为零，每月仅需支付4850元用于归还贷款本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kern w:val="2"/>
          <w:sz w:val="28"/>
          <w:szCs w:val="28"/>
          <w:lang w:val="en-US" w:eastAsia="zh-CN" w:bidi="ar-SA"/>
        </w:rPr>
        <w:t>通过对比可见，贷款模式相较于正常月付，租客每月节省150元，全年节省1800元。相较于一次性年付，租客同等享受97折优惠，且无需一次性支付58200元大额资金，资金占用为零，现金流压力大幅减轻，实现了资金效率与租金优惠的双重提升。</w:t>
      </w:r>
    </w:p>
    <w:tbl>
      <w:tblPr>
        <w:tblStyle w:val="8"/>
        <w:tblpPr w:leftFromText="180" w:rightFromText="180" w:vertAnchor="text" w:horzAnchor="page" w:tblpXSpec="center" w:tblpY="34"/>
        <w:tblOverlap w:val="never"/>
        <w:tblW w:w="75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2050"/>
        <w:gridCol w:w="1850"/>
        <w:gridCol w:w="16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租客付款方式</w:t>
            </w:r>
          </w:p>
        </w:tc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每年支付总费用（元）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前端一次性支付费用（元）</w:t>
            </w:r>
          </w:p>
        </w:tc>
        <w:tc>
          <w:tcPr>
            <w:tcW w:w="163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每月支付费（元）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正常月付</w:t>
            </w:r>
          </w:p>
        </w:tc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60000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63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5000（租金）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一次性年付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（97折）</w:t>
            </w:r>
          </w:p>
        </w:tc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58200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58200</w:t>
            </w:r>
          </w:p>
        </w:tc>
        <w:tc>
          <w:tcPr>
            <w:tcW w:w="163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0（年付租金分摊至每月为4850元）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贷款一次性年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（97折）</w:t>
            </w:r>
          </w:p>
        </w:tc>
        <w:tc>
          <w:tcPr>
            <w:tcW w:w="20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58200</w:t>
            </w:r>
          </w:p>
        </w:tc>
        <w:tc>
          <w:tcPr>
            <w:tcW w:w="1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63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4850（每月贷款还款额）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（三）业主端收益分析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从业主角度分析，正常月付模式下每年总收入为60000元，按月收取5000元。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一次性年付95折模式下每年总收入为57000元，前端一次性收入57000元。贷款一次性年付97折模式下，每年总收入为57097元【58200（贷款受托支付金额）—1103（贴息预收利息）】，相较于给予95折的年付优惠即到账57000元，贷款模式下业主收入增加97元。</w:t>
      </w:r>
    </w:p>
    <w:tbl>
      <w:tblPr>
        <w:tblStyle w:val="8"/>
        <w:tblpPr w:leftFromText="180" w:rightFromText="180" w:vertAnchor="text" w:horzAnchor="page" w:tblpXSpec="center" w:tblpY="34"/>
        <w:tblOverlap w:val="never"/>
        <w:tblW w:w="79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672"/>
        <w:gridCol w:w="2417"/>
        <w:gridCol w:w="17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21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租客付款方式</w:t>
            </w:r>
          </w:p>
        </w:tc>
        <w:tc>
          <w:tcPr>
            <w:tcW w:w="167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每年总收入（元）</w:t>
            </w:r>
          </w:p>
        </w:tc>
        <w:tc>
          <w:tcPr>
            <w:tcW w:w="24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前端一次性收入（元）</w:t>
            </w:r>
          </w:p>
        </w:tc>
        <w:tc>
          <w:tcPr>
            <w:tcW w:w="17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每月收入（元）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21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正常月付</w:t>
            </w:r>
          </w:p>
        </w:tc>
        <w:tc>
          <w:tcPr>
            <w:tcW w:w="167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60000</w:t>
            </w:r>
          </w:p>
        </w:tc>
        <w:tc>
          <w:tcPr>
            <w:tcW w:w="24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7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21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firstLine="240" w:firstLineChars="100"/>
              <w:jc w:val="both"/>
              <w:textAlignment w:val="auto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一次性年付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（95折）</w:t>
            </w:r>
          </w:p>
        </w:tc>
        <w:tc>
          <w:tcPr>
            <w:tcW w:w="167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57000</w:t>
            </w:r>
          </w:p>
        </w:tc>
        <w:tc>
          <w:tcPr>
            <w:tcW w:w="24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57000</w:t>
            </w:r>
          </w:p>
        </w:tc>
        <w:tc>
          <w:tcPr>
            <w:tcW w:w="17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  <w:jc w:val="center"/>
        </w:trPr>
        <w:tc>
          <w:tcPr>
            <w:tcW w:w="21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贷款一次性年付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（97折）</w:t>
            </w:r>
          </w:p>
        </w:tc>
        <w:tc>
          <w:tcPr>
            <w:tcW w:w="167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58200</w:t>
            </w:r>
          </w:p>
        </w:tc>
        <w:tc>
          <w:tcPr>
            <w:tcW w:w="241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57097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（58200（贷款受托支付金额）—1103（贴息预收利息）</w:t>
            </w:r>
          </w:p>
        </w:tc>
        <w:tc>
          <w:tcPr>
            <w:tcW w:w="17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default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</w:pPr>
            <w:r>
              <w:rPr>
                <w:rFonts w:hint="eastAsia" w:ascii="方正仿宋简体" w:hAnsi="方正仿宋简体" w:eastAsia="方正仿宋简体" w:cs="方正仿宋简体"/>
                <w:sz w:val="24"/>
                <w:szCs w:val="24"/>
                <w:lang w:val="en-US" w:eastAsia="zh-CN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（四）提前退租处置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</w:rPr>
        <w:t>若租客在贷款存续期间提前退租，需按以下原则处理。一是贷款关系不变，租客与我行的借贷关系不因租赁合同解除而自动终止，租客须继续按月偿还贷款本金直至结清。二是租金结算，业主与租客按租赁合同约定办理退租结算，业主应将剩余租期对应的租金退还至租客指定账户。三是提前结清，租客可向我行申请提前偿还剩余贷款本金，已收取的业主贴息不予退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  <w:t>三、目标客户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租客端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为具有稳定收入来源、信用记录良好的个人租客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优先针对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公务员、事业单位员工、国有企业员工、金融机构从业人员、教师、医生等优质职业人群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业主端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为经营规范、信用良好的房屋产权方或长租公寓运营方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房屋产权清晰，具备合法出租资质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优先合作对象为国有企业、央企、政府平台公司、品牌长租公寓运营方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2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28"/>
          <w:szCs w:val="28"/>
          <w:lang w:val="en-US" w:eastAsia="zh-CN"/>
        </w:rPr>
        <w:t>四、产品优势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针对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对租客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而言，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一是资金压力小，将大额年付转化为小额月付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且无需承担贷款利息，无感贷款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。二是租金更优惠，锁定年付折扣降低租房总成本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</w:rPr>
        <w:t>对业主</w:t>
      </w:r>
      <w:r>
        <w:rPr>
          <w:rFonts w:hint="eastAsia" w:ascii="方正仿宋简体" w:hAnsi="方正仿宋简体" w:eastAsia="方正仿宋简体" w:cs="方正仿宋简体"/>
          <w:sz w:val="28"/>
          <w:szCs w:val="28"/>
          <w:lang w:val="en-US" w:eastAsia="zh-CN"/>
        </w:rPr>
        <w:t>而言，</w:t>
      </w:r>
      <w:r>
        <w:rPr>
          <w:rFonts w:hint="eastAsia" w:ascii="方正仿宋简体" w:hAnsi="方正仿宋简体" w:eastAsia="方正仿宋简体" w:cs="方正仿宋简体"/>
          <w:sz w:val="28"/>
          <w:szCs w:val="28"/>
        </w:rPr>
        <w:t>一是快速回笼资金，一次性收取全年租金提升资金周转效率。二是提升出租竞争力，为租客提供金融支持工具加速房源去化。三是成本可控，贴息成本较低。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56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449F8"/>
    <w:rsid w:val="1D755341"/>
    <w:rsid w:val="3B4E117D"/>
    <w:rsid w:val="3EE27527"/>
    <w:rsid w:val="700F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4"/>
    <w:qFormat/>
    <w:uiPriority w:val="1"/>
    <w:pPr>
      <w:jc w:val="center"/>
    </w:pPr>
    <w:rPr>
      <w:rFonts w:ascii="仿宋_GB2312" w:hAnsi="微软雅黑" w:eastAsia="仿宋_GB2312"/>
      <w:color w:val="000000"/>
      <w:sz w:val="24"/>
    </w:rPr>
  </w:style>
  <w:style w:type="paragraph" w:styleId="4">
    <w:name w:val="Body Text Indent"/>
    <w:basedOn w:val="1"/>
    <w:unhideWhenUsed/>
    <w:qFormat/>
    <w:uiPriority w:val="0"/>
    <w:pPr>
      <w:spacing w:after="120"/>
      <w:ind w:left="420" w:leftChars="200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Body Text First Indent"/>
    <w:basedOn w:val="3"/>
    <w:qFormat/>
    <w:uiPriority w:val="99"/>
    <w:pPr>
      <w:spacing w:beforeLines="50" w:afterLines="50" w:line="360" w:lineRule="auto"/>
      <w:ind w:firstLine="420" w:firstLineChars="100"/>
      <w:jc w:val="both"/>
    </w:pPr>
    <w:rPr>
      <w:rFonts w:ascii="微软雅黑" w:eastAsia="楷体_GB2312"/>
      <w:szCs w:val="21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1414</Words>
  <Characters>1590</Characters>
  <Lines>0</Lines>
  <Paragraphs>0</Paragraphs>
  <TotalTime>35</TotalTime>
  <ScaleCrop>false</ScaleCrop>
  <LinksUpToDate>false</LinksUpToDate>
  <CharactersWithSpaces>1590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2025-06-27T00:30:00Z</dcterms:created>
  <dc:creator>jsyh</dc:creator>
  <cp:lastModifiedBy> </cp:lastModifiedBy>
  <dcterms:modified xsi:type="dcterms:W3CDTF">2026-05-06T11:31:08Z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68D02EB367AB4F5D970BD50E0A2EA793</vt:lpwstr>
  </property>
</Properties>
</file>