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等线" w:cs="等线" w:eastAsia="等线" w:hAnsi="等线"/>
        </w:rPr>
        <w:t xml:space="preserve"/>
      </w:r>
    </w:p>
    <w:p>
      <w:pPr>
        <w:spacing w:after="200" w:before="200"/>
        <w:jc w:val="center"/>
      </w:pPr>
      <w:r>
        <w:rPr>
          <w:rFonts w:ascii="等线" w:cs="等线" w:eastAsia="等线" w:hAnsi="等线"/>
          <w:b/>
          <w:bCs/>
          <w:color w:val="1F3864"/>
          <w:sz w:val="56"/>
          <w:szCs w:val="56"/>
        </w:rPr>
        <w:t xml:space="preserve">江苏银行房租贷产品战略报告</w:t>
      </w:r>
    </w:p>
    <w:p>
      <w:pPr>
        <w:spacing w:after="600" w:before="200"/>
        <w:jc w:val="center"/>
      </w:pPr>
      <w:r>
        <w:rPr>
          <w:rFonts w:ascii="等线" w:cs="等线" w:eastAsia="等线" w:hAnsi="等线"/>
          <w:color w:val="595959"/>
          <w:sz w:val="32"/>
          <w:szCs w:val="32"/>
        </w:rPr>
        <w:t xml:space="preserve">—— 综合版 v1.0 ——</w:t>
      </w:r>
    </w:p>
    <w:p>
      <w:pPr>
        <w:spacing w:after="200" w:before="1600"/>
        <w:jc w:val="center"/>
      </w:pPr>
      <w:r>
        <w:rPr>
          <w:rFonts w:ascii="等线" w:cs="等线" w:eastAsia="等线" w:hAnsi="等线"/>
          <w:color w:val="2E74B5"/>
          <w:sz w:val="26"/>
          <w:szCs w:val="26"/>
        </w:rPr>
        <w:t xml:space="preserve">产品定位 · 市场分析 · 战略路径 · 风险合规</w:t>
      </w:r>
    </w:p>
    <w:p>
      <w:pPr>
        <w:spacing w:after="200" w:before="2400"/>
        <w:jc w:val="center"/>
      </w:pPr>
      <w:r>
        <w:rPr>
          <w:rFonts w:ascii="等线" w:cs="等线" w:eastAsia="等线" w:hAnsi="等线"/>
          <w:color w:val="595959"/>
          <w:sz w:val="24"/>
          <w:szCs w:val="24"/>
        </w:rPr>
        <w:t xml:space="preserve">2026年5月</w:t>
      </w:r>
    </w:p>
    <w:p>
      <w:r>
        <w:br w:type="page"/>
      </w:r>
    </w:p>
    <w:p>
      <w:pPr>
        <w:pStyle w:val="Heading1"/>
        <w:spacing w:after="200" w:before="360"/>
      </w:pPr>
      <w:r>
        <w:rPr>
          <w:rFonts w:ascii="等线" w:cs="等线" w:eastAsia="等线" w:hAnsi="等线"/>
          <w:b/>
          <w:bCs/>
          <w:color w:val="1F3864"/>
          <w:sz w:val="32"/>
          <w:szCs w:val="32"/>
        </w:rPr>
        <w:t xml:space="preserve">目  录</w:t>
      </w:r>
    </w:p>
    <w:p>
      <w:pPr>
        <w:spacing w:after="60" w:before="60" w:line="320"/>
      </w:pPr>
      <w:r>
        <w:rPr>
          <w:rFonts w:ascii="等线" w:cs="等线" w:eastAsia="等线" w:hAnsi="等线"/>
          <w:b/>
          <w:bCs/>
          <w:sz w:val="22"/>
          <w:szCs w:val="22"/>
        </w:rPr>
        <w:t xml:space="preserve">执行摘要</w:t>
      </w:r>
    </w:p>
    <w:p>
      <w:pPr>
        <w:spacing w:after="60" w:before="60" w:line="320"/>
      </w:pPr>
      <w:r>
        <w:rPr>
          <w:rFonts w:ascii="等线" w:cs="等线" w:eastAsia="等线" w:hAnsi="等线"/>
          <w:b/>
          <w:bCs/>
          <w:sz w:val="22"/>
          <w:szCs w:val="22"/>
        </w:rPr>
        <w:t xml:space="preserve">第一章  产品现状分析</w:t>
      </w:r>
    </w:p>
    <w:p>
      <w:pPr>
        <w:spacing w:after="60" w:before="60" w:line="320"/>
        <w:ind w:left="480"/>
      </w:pPr>
      <w:r>
        <w:rPr>
          <w:rFonts w:ascii="等线" w:cs="等线" w:eastAsia="等线" w:hAnsi="等线"/>
          <w:b w:val="false"/>
          <w:bCs w:val="false"/>
          <w:sz w:val="22"/>
          <w:szCs w:val="22"/>
        </w:rPr>
        <w:t xml:space="preserve">1.1  产品要素</w:t>
      </w:r>
    </w:p>
    <w:p>
      <w:pPr>
        <w:spacing w:after="60" w:before="60" w:line="320"/>
        <w:ind w:left="480"/>
      </w:pPr>
      <w:r>
        <w:rPr>
          <w:rFonts w:ascii="等线" w:cs="等线" w:eastAsia="等线" w:hAnsi="等线"/>
          <w:b w:val="false"/>
          <w:bCs w:val="false"/>
          <w:sz w:val="22"/>
          <w:szCs w:val="22"/>
        </w:rPr>
        <w:t xml:space="preserve">1.2  数字验算</w:t>
      </w:r>
    </w:p>
    <w:p>
      <w:pPr>
        <w:spacing w:after="60" w:before="60" w:line="320"/>
        <w:ind w:left="480"/>
      </w:pPr>
      <w:r>
        <w:rPr>
          <w:rFonts w:ascii="等线" w:cs="等线" w:eastAsia="等线" w:hAnsi="等线"/>
          <w:b w:val="false"/>
          <w:bCs w:val="false"/>
          <w:sz w:val="22"/>
          <w:szCs w:val="22"/>
        </w:rPr>
        <w:t xml:space="preserve">1.3  三方收益分析</w:t>
      </w:r>
    </w:p>
    <w:p>
      <w:pPr>
        <w:spacing w:after="60" w:before="60" w:line="320"/>
        <w:ind w:left="480"/>
      </w:pPr>
      <w:r>
        <w:rPr>
          <w:rFonts w:ascii="等线" w:cs="等线" w:eastAsia="等线" w:hAnsi="等线"/>
          <w:b w:val="false"/>
          <w:bCs w:val="false"/>
          <w:sz w:val="22"/>
          <w:szCs w:val="22"/>
        </w:rPr>
        <w:t xml:space="preserve">1.4  产品本质判断</w:t>
      </w:r>
    </w:p>
    <w:p>
      <w:pPr>
        <w:spacing w:after="60" w:before="60" w:line="320"/>
      </w:pPr>
      <w:r>
        <w:rPr>
          <w:rFonts w:ascii="等线" w:cs="等线" w:eastAsia="等线" w:hAnsi="等线"/>
          <w:b/>
          <w:bCs/>
          <w:sz w:val="22"/>
          <w:szCs w:val="22"/>
        </w:rPr>
        <w:t xml:space="preserve">第二章  市场规模与竞争格局</w:t>
      </w:r>
    </w:p>
    <w:p>
      <w:pPr>
        <w:spacing w:after="60" w:before="60" w:line="320"/>
        <w:ind w:left="480"/>
      </w:pPr>
      <w:r>
        <w:rPr>
          <w:rFonts w:ascii="等线" w:cs="等线" w:eastAsia="等线" w:hAnsi="等线"/>
          <w:b w:val="false"/>
          <w:bCs w:val="false"/>
          <w:sz w:val="22"/>
          <w:szCs w:val="22"/>
        </w:rPr>
        <w:t xml:space="preserve">2.1  全国住房租赁市场</w:t>
      </w:r>
    </w:p>
    <w:p>
      <w:pPr>
        <w:spacing w:after="60" w:before="60" w:line="320"/>
        <w:ind w:left="480"/>
      </w:pPr>
      <w:r>
        <w:rPr>
          <w:rFonts w:ascii="等线" w:cs="等线" w:eastAsia="等线" w:hAnsi="等线"/>
          <w:b w:val="false"/>
          <w:bCs w:val="false"/>
          <w:sz w:val="22"/>
          <w:szCs w:val="22"/>
        </w:rPr>
        <w:t xml:space="preserve">2.2  江苏省市场</w:t>
      </w:r>
    </w:p>
    <w:p>
      <w:pPr>
        <w:spacing w:after="60" w:before="60" w:line="320"/>
        <w:ind w:left="480"/>
      </w:pPr>
      <w:r>
        <w:rPr>
          <w:rFonts w:ascii="等线" w:cs="等线" w:eastAsia="等线" w:hAnsi="等线"/>
          <w:b w:val="false"/>
          <w:bCs w:val="false"/>
          <w:sz w:val="22"/>
          <w:szCs w:val="22"/>
        </w:rPr>
        <w:t xml:space="preserve">2.3  可寻址市场测算</w:t>
      </w:r>
    </w:p>
    <w:p>
      <w:pPr>
        <w:spacing w:after="60" w:before="60" w:line="320"/>
        <w:ind w:left="480"/>
      </w:pPr>
      <w:r>
        <w:rPr>
          <w:rFonts w:ascii="等线" w:cs="等线" w:eastAsia="等线" w:hAnsi="等线"/>
          <w:b w:val="false"/>
          <w:bCs w:val="false"/>
          <w:sz w:val="22"/>
          <w:szCs w:val="22"/>
        </w:rPr>
        <w:t xml:space="preserve">2.4  同业产品对标</w:t>
      </w:r>
    </w:p>
    <w:p>
      <w:pPr>
        <w:spacing w:after="60" w:before="60" w:line="320"/>
      </w:pPr>
      <w:r>
        <w:rPr>
          <w:rFonts w:ascii="等线" w:cs="等线" w:eastAsia="等线" w:hAnsi="等线"/>
          <w:b/>
          <w:bCs/>
          <w:sz w:val="22"/>
          <w:szCs w:val="22"/>
        </w:rPr>
        <w:t xml:space="preserve">第三章  目标客群分级</w:t>
      </w:r>
    </w:p>
    <w:p>
      <w:pPr>
        <w:spacing w:after="60" w:before="60" w:line="320"/>
        <w:ind w:left="480"/>
      </w:pPr>
      <w:r>
        <w:rPr>
          <w:rFonts w:ascii="等线" w:cs="等线" w:eastAsia="等线" w:hAnsi="等线"/>
          <w:b w:val="false"/>
          <w:bCs w:val="false"/>
          <w:sz w:val="22"/>
          <w:szCs w:val="22"/>
        </w:rPr>
        <w:t xml:space="preserve">3.1  C端租客分级</w:t>
      </w:r>
    </w:p>
    <w:p>
      <w:pPr>
        <w:spacing w:after="60" w:before="60" w:line="320"/>
        <w:ind w:left="480"/>
      </w:pPr>
      <w:r>
        <w:rPr>
          <w:rFonts w:ascii="等线" w:cs="等线" w:eastAsia="等线" w:hAnsi="等线"/>
          <w:b w:val="false"/>
          <w:bCs w:val="false"/>
          <w:sz w:val="22"/>
          <w:szCs w:val="22"/>
        </w:rPr>
        <w:t xml:space="preserve">3.2  B端业主分级(平衡档准入)</w:t>
      </w:r>
    </w:p>
    <w:p>
      <w:pPr>
        <w:spacing w:after="60" w:before="60" w:line="320"/>
        <w:ind w:left="480"/>
      </w:pPr>
      <w:r>
        <w:rPr>
          <w:rFonts w:ascii="等线" w:cs="等线" w:eastAsia="等线" w:hAnsi="等线"/>
          <w:b w:val="false"/>
          <w:bCs w:val="false"/>
          <w:sz w:val="22"/>
          <w:szCs w:val="22"/>
        </w:rPr>
        <w:t xml:space="preserve">3.3  客户准入硬指标</w:t>
      </w:r>
    </w:p>
    <w:p>
      <w:pPr>
        <w:spacing w:after="60" w:before="60" w:line="320"/>
      </w:pPr>
      <w:r>
        <w:rPr>
          <w:rFonts w:ascii="等线" w:cs="等线" w:eastAsia="等线" w:hAnsi="等线"/>
          <w:b/>
          <w:bCs/>
          <w:sz w:val="22"/>
          <w:szCs w:val="22"/>
        </w:rPr>
        <w:t xml:space="preserve">第四章  战略路径与核心决策</w:t>
      </w:r>
    </w:p>
    <w:p>
      <w:pPr>
        <w:spacing w:after="60" w:before="60" w:line="320"/>
        <w:ind w:left="480"/>
      </w:pPr>
      <w:r>
        <w:rPr>
          <w:rFonts w:ascii="等线" w:cs="等线" w:eastAsia="等线" w:hAnsi="等线"/>
          <w:b w:val="false"/>
          <w:bCs w:val="false"/>
          <w:sz w:val="22"/>
          <w:szCs w:val="22"/>
        </w:rPr>
        <w:t xml:space="preserve">4.1  路径选择:C端为主、B端二阶段延伸</w:t>
      </w:r>
    </w:p>
    <w:p>
      <w:pPr>
        <w:spacing w:after="60" w:before="60" w:line="320"/>
        <w:ind w:left="480"/>
      </w:pPr>
      <w:r>
        <w:rPr>
          <w:rFonts w:ascii="等线" w:cs="等线" w:eastAsia="等线" w:hAnsi="等线"/>
          <w:b w:val="false"/>
          <w:bCs w:val="false"/>
          <w:sz w:val="22"/>
          <w:szCs w:val="22"/>
        </w:rPr>
        <w:t xml:space="preserve">4.2  五个核心决策点</w:t>
      </w:r>
    </w:p>
    <w:p>
      <w:pPr>
        <w:spacing w:after="60" w:before="60" w:line="320"/>
        <w:ind w:left="480"/>
      </w:pPr>
      <w:r>
        <w:rPr>
          <w:rFonts w:ascii="等线" w:cs="等线" w:eastAsia="等线" w:hAnsi="等线"/>
          <w:b w:val="false"/>
          <w:bCs w:val="false"/>
          <w:sz w:val="22"/>
          <w:szCs w:val="22"/>
        </w:rPr>
        <w:t xml:space="preserve">4.3  行内业务协同——产品的隐性战略价值</w:t>
      </w:r>
    </w:p>
    <w:p>
      <w:pPr>
        <w:spacing w:after="60" w:before="60" w:line="320"/>
      </w:pPr>
      <w:r>
        <w:rPr>
          <w:rFonts w:ascii="等线" w:cs="等线" w:eastAsia="等线" w:hAnsi="等线"/>
          <w:b/>
          <w:bCs/>
          <w:sz w:val="22"/>
          <w:szCs w:val="22"/>
        </w:rPr>
        <w:t xml:space="preserve">第五章  风险与合规</w:t>
      </w:r>
    </w:p>
    <w:p>
      <w:pPr>
        <w:spacing w:after="60" w:before="60" w:line="320"/>
        <w:ind w:left="480"/>
      </w:pPr>
      <w:r>
        <w:rPr>
          <w:rFonts w:ascii="等线" w:cs="等线" w:eastAsia="等线" w:hAnsi="等线"/>
          <w:b w:val="false"/>
          <w:bCs w:val="false"/>
          <w:sz w:val="22"/>
          <w:szCs w:val="22"/>
        </w:rPr>
        <w:t xml:space="preserve">5.1  业主道德风险</w:t>
      </w:r>
    </w:p>
    <w:p>
      <w:pPr>
        <w:spacing w:after="60" w:before="60" w:line="320"/>
        <w:ind w:left="480"/>
      </w:pPr>
      <w:r>
        <w:rPr>
          <w:rFonts w:ascii="等线" w:cs="等线" w:eastAsia="等线" w:hAnsi="等线"/>
          <w:b w:val="false"/>
          <w:bCs w:val="false"/>
          <w:sz w:val="22"/>
          <w:szCs w:val="22"/>
        </w:rPr>
        <w:t xml:space="preserve">5.2  监管合规风险</w:t>
      </w:r>
    </w:p>
    <w:p>
      <w:pPr>
        <w:spacing w:after="60" w:before="60" w:line="320"/>
        <w:ind w:left="480"/>
      </w:pPr>
      <w:r>
        <w:rPr>
          <w:rFonts w:ascii="等线" w:cs="等线" w:eastAsia="等线" w:hAnsi="等线"/>
          <w:b w:val="false"/>
          <w:bCs w:val="false"/>
          <w:sz w:val="22"/>
          <w:szCs w:val="22"/>
        </w:rPr>
        <w:t xml:space="preserve">5.3  提前退租处置漏洞</w:t>
      </w:r>
    </w:p>
    <w:p>
      <w:pPr>
        <w:spacing w:after="60" w:before="60" w:line="320"/>
        <w:ind w:left="480"/>
      </w:pPr>
      <w:r>
        <w:rPr>
          <w:rFonts w:ascii="等线" w:cs="等线" w:eastAsia="等线" w:hAnsi="等线"/>
          <w:b w:val="false"/>
          <w:bCs w:val="false"/>
          <w:sz w:val="22"/>
          <w:szCs w:val="22"/>
        </w:rPr>
        <w:t xml:space="preserve">5.4  信用风险</w:t>
      </w:r>
    </w:p>
    <w:p>
      <w:pPr>
        <w:spacing w:after="60" w:before="60" w:line="320"/>
      </w:pPr>
      <w:r>
        <w:rPr>
          <w:rFonts w:ascii="等线" w:cs="等线" w:eastAsia="等线" w:hAnsi="等线"/>
          <w:b/>
          <w:bCs/>
          <w:sz w:val="22"/>
          <w:szCs w:val="22"/>
        </w:rPr>
        <w:t xml:space="preserve">第六章  推广路径与里程碑</w:t>
      </w:r>
    </w:p>
    <w:p>
      <w:pPr>
        <w:spacing w:after="60" w:before="60" w:line="320"/>
        <w:ind w:left="480"/>
      </w:pPr>
      <w:r>
        <w:rPr>
          <w:rFonts w:ascii="等线" w:cs="等线" w:eastAsia="等线" w:hAnsi="等线"/>
          <w:b w:val="false"/>
          <w:bCs w:val="false"/>
          <w:sz w:val="22"/>
          <w:szCs w:val="22"/>
        </w:rPr>
        <w:t xml:space="preserve">6.1  三阶段推广计划</w:t>
      </w:r>
    </w:p>
    <w:p>
      <w:pPr>
        <w:spacing w:after="60" w:before="60" w:line="320"/>
        <w:ind w:left="480"/>
      </w:pPr>
      <w:r>
        <w:rPr>
          <w:rFonts w:ascii="等线" w:cs="等线" w:eastAsia="等线" w:hAnsi="等线"/>
          <w:b w:val="false"/>
          <w:bCs w:val="false"/>
          <w:sz w:val="22"/>
          <w:szCs w:val="22"/>
        </w:rPr>
        <w:t xml:space="preserve">6.2  关键里程碑</w:t>
      </w:r>
    </w:p>
    <w:p>
      <w:pPr>
        <w:spacing w:after="60" w:before="60" w:line="320"/>
        <w:ind w:left="480"/>
      </w:pPr>
      <w:r>
        <w:rPr>
          <w:rFonts w:ascii="等线" w:cs="等线" w:eastAsia="等线" w:hAnsi="等线"/>
          <w:b w:val="false"/>
          <w:bCs w:val="false"/>
          <w:sz w:val="22"/>
          <w:szCs w:val="22"/>
        </w:rPr>
        <w:t xml:space="preserve">6.3  KPI体系</w:t>
      </w:r>
    </w:p>
    <w:p>
      <w:pPr>
        <w:spacing w:after="60" w:before="60" w:line="320"/>
      </w:pPr>
      <w:r>
        <w:rPr>
          <w:rFonts w:ascii="等线" w:cs="等线" w:eastAsia="等线" w:hAnsi="等线"/>
          <w:b/>
          <w:bCs/>
          <w:sz w:val="22"/>
          <w:szCs w:val="22"/>
        </w:rPr>
        <w:t xml:space="preserve">附  录</w:t>
      </w:r>
    </w:p>
    <w:p>
      <w:r>
        <w:br w:type="page"/>
      </w:r>
    </w:p>
    <w:p>
      <w:pPr>
        <w:pStyle w:val="Heading1"/>
        <w:spacing w:after="200" w:before="360"/>
      </w:pPr>
      <w:r>
        <w:rPr>
          <w:rFonts w:ascii="等线" w:cs="等线" w:eastAsia="等线" w:hAnsi="等线"/>
          <w:b/>
          <w:bCs/>
          <w:color w:val="1F3864"/>
          <w:sz w:val="32"/>
          <w:szCs w:val="32"/>
        </w:rPr>
        <w:t xml:space="preserve">执行摘要</w:t>
      </w:r>
    </w:p>
    <w:p>
      <w:pPr>
        <w:spacing w:after="120" w:before="120" w:line="360"/>
        <w:jc w:val="both"/>
      </w:pPr>
      <w:r>
        <w:rPr>
          <w:rFonts w:ascii="等线" w:cs="等线" w:eastAsia="等线" w:hAnsi="等线"/>
          <w:b w:val="false"/>
          <w:bCs w:val="false"/>
          <w:color w:val="000000"/>
          <w:sz w:val="22"/>
          <w:szCs w:val="22"/>
        </w:rPr>
        <w:t xml:space="preserve">江苏银行房租贷v2方案设计了一款面向优质租客的零利率消费贷产品,通过业主前端贴息1.89%(折合年化3.5%)的机制,为租客提供"无感贷款"体验。本报告基于产品方案、市场环境、监管政策和行内业务协同四个维度进行系统分析,核心结论如下。</w:t>
      </w:r>
    </w:p>
    <w:p>
      <w:pPr>
        <w:spacing w:after="120" w:before="120" w:line="360"/>
        <w:jc w:val="both"/>
      </w:pPr>
      <w:r>
        <w:rPr>
          <w:rFonts w:ascii="等线" w:cs="等线" w:eastAsia="等线" w:hAnsi="等线"/>
          <w:b/>
          <w:bCs/>
          <w:color w:val="000000"/>
          <w:sz w:val="22"/>
          <w:szCs w:val="22"/>
        </w:rPr>
        <w:t xml:space="preserve">第一,产品商业逻辑成立,但风险披露不充分。</w:t>
      </w:r>
      <w:r>
        <w:rPr>
          <w:rFonts w:ascii="等线" w:cs="等线" w:eastAsia="等线" w:hAnsi="等线"/>
          <w:sz w:val="22"/>
          <w:szCs w:val="22"/>
        </w:rPr>
        <w:t xml:space="preserve">当前产品设计对C端租客、B端业主、银行三方均创造价值,但对业主道德风险、监管合规边界、提前退租处置漏洞的设计明显薄弱,需要在推广前补强。</w:t>
      </w:r>
    </w:p>
    <w:p>
      <w:pPr>
        <w:spacing w:after="120" w:before="120" w:line="360"/>
        <w:jc w:val="both"/>
      </w:pPr>
      <w:r>
        <w:rPr>
          <w:rFonts w:ascii="等线" w:cs="等线" w:eastAsia="等线" w:hAnsi="等线"/>
          <w:b/>
          <w:bCs/>
          <w:color w:val="000000"/>
          <w:sz w:val="22"/>
          <w:szCs w:val="22"/>
        </w:rPr>
        <w:t xml:space="preserve">第二,目标市场容量足以支撑战略级业务。</w:t>
      </w:r>
      <w:r>
        <w:rPr>
          <w:rFonts w:ascii="等线" w:cs="等线" w:eastAsia="等线" w:hAnsi="等线"/>
          <w:sz w:val="22"/>
          <w:szCs w:val="22"/>
        </w:rPr>
        <w:t xml:space="preserve">江苏省内机构化租赁运营房源约80-90万套,按渗透率15-30%估算,房租贷理论年放款规模约400-1,350亿元,可贡献江苏银行贷款余额的2-5%,且能撬动对公账户拉新和存款沉淀。</w:t>
      </w:r>
    </w:p>
    <w:p>
      <w:pPr>
        <w:spacing w:after="120" w:before="120" w:line="360"/>
        <w:jc w:val="both"/>
      </w:pPr>
      <w:r>
        <w:rPr>
          <w:rFonts w:ascii="等线" w:cs="等线" w:eastAsia="等线" w:hAnsi="等线"/>
          <w:b/>
          <w:bCs/>
          <w:color w:val="000000"/>
          <w:sz w:val="22"/>
          <w:szCs w:val="22"/>
        </w:rPr>
        <w:t xml:space="preserve">第三,推广路径建议采取C端先行、B端延伸的双阶段策略。</w:t>
      </w:r>
      <w:r>
        <w:rPr>
          <w:rFonts w:ascii="等线" w:cs="等线" w:eastAsia="等线" w:hAnsi="等线"/>
          <w:sz w:val="22"/>
          <w:szCs w:val="22"/>
        </w:rPr>
        <w:t xml:space="preserve">第一阶段(0-12个月)以租客消费贷模式快速冷启动,第二阶段(12-24个月)对优质机构化业主切换为"经营贷+租金分期"组合产品,形成全链条覆盖。</w:t>
      </w:r>
    </w:p>
    <w:p>
      <w:pPr>
        <w:spacing w:after="120" w:before="120" w:line="360"/>
        <w:jc w:val="both"/>
      </w:pPr>
      <w:r>
        <w:rPr>
          <w:rFonts w:ascii="等线" w:cs="等线" w:eastAsia="等线" w:hAnsi="等线"/>
          <w:b/>
          <w:bCs/>
          <w:color w:val="000000"/>
          <w:sz w:val="22"/>
          <w:szCs w:val="22"/>
        </w:rPr>
        <w:t xml:space="preserve">第四,业主端准入采取平衡档策略。</w:t>
      </w:r>
      <w:r>
        <w:rPr>
          <w:rFonts w:ascii="等线" w:cs="等线" w:eastAsia="等线" w:hAnsi="等线"/>
          <w:sz w:val="22"/>
          <w:szCs w:val="22"/>
        </w:rPr>
        <w:t xml:space="preserve">接入对象限定为持牌长租公寓、国央企/政府租赁平台、连锁中介托管房源,永久排除个人散户业主和未注册二房东。这一选择牺牲约30-40%的可寻址市场,但换取风险可控和合规清晰。</w:t>
      </w:r>
    </w:p>
    <w:p>
      <w:pPr>
        <w:spacing w:after="120" w:before="120" w:line="360"/>
        <w:jc w:val="both"/>
      </w:pPr>
      <w:r>
        <w:rPr>
          <w:rFonts w:ascii="等线" w:cs="等线" w:eastAsia="等线" w:hAnsi="等线"/>
          <w:b/>
          <w:bCs/>
          <w:color w:val="000000"/>
          <w:sz w:val="22"/>
          <w:szCs w:val="22"/>
        </w:rPr>
        <w:t xml:space="preserve">第五,产品的真正战略价值不在利息收入,而在对公存款沉淀和零售拉新。</w:t>
      </w:r>
      <w:r>
        <w:rPr>
          <w:rFonts w:ascii="等线" w:cs="等线" w:eastAsia="等线" w:hAnsi="等线"/>
          <w:sz w:val="22"/>
          <w:szCs w:val="22"/>
        </w:rPr>
        <w:t xml:space="preserve">综合贡献预计是利息收入的2-3倍。这一点需要在立项决策中重点强调,否则会低估业务的战略地位。</w:t>
      </w:r>
    </w:p>
    <w:p>
      <w:r>
        <w:rPr>
          <w:rFonts w:ascii="等线" w:cs="等线" w:eastAsia="等线" w:hAnsi="等线"/>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12"/>
              <w:bottom w:val="single" w:color="2E74B5" w:sz="4"/>
              <w:right w:val="single" w:color="2E74B5" w:sz="4"/>
            </w:tcBorders>
            <w:shd w:fill="DEEBF7" w:val="clear"/>
            <w:tcMar>
              <w:top w:type="dxa" w:w="160"/>
              <w:left w:type="dxa" w:w="200"/>
              <w:bottom w:type="dxa" w:w="160"/>
              <w:right w:type="dxa" w:w="200"/>
            </w:tcMar>
          </w:tcPr>
          <w:p>
            <w:pPr>
              <w:spacing w:line="340"/>
            </w:pPr>
            <w:r>
              <w:rPr>
                <w:rFonts w:ascii="等线" w:cs="等线" w:eastAsia="等线" w:hAnsi="等线"/>
                <w:sz w:val="22"/>
                <w:szCs w:val="22"/>
              </w:rPr>
              <w:t xml:space="preserve">行动建议:六个月内启动小规模试点,在3-4个核心城市(南京、苏州、无锡、常州)选择5-8家头部合作业主进行验证;12个月内形成完整产品体系并铺开江苏全省;24个月内升级为C+B双轨产品矩阵,累计放款规模目标80-120亿元。</w:t>
            </w:r>
          </w:p>
        </w:tc>
      </w:tr>
    </w:tbl>
    <w:p>
      <w:r>
        <w:br w:type="page"/>
      </w:r>
    </w:p>
    <w:p>
      <w:pPr>
        <w:pStyle w:val="Heading1"/>
        <w:spacing w:after="200" w:before="360"/>
      </w:pPr>
      <w:r>
        <w:rPr>
          <w:rFonts w:ascii="等线" w:cs="等线" w:eastAsia="等线" w:hAnsi="等线"/>
          <w:b/>
          <w:bCs/>
          <w:color w:val="1F3864"/>
          <w:sz w:val="32"/>
          <w:szCs w:val="32"/>
        </w:rPr>
        <w:t xml:space="preserve">第一章  产品现状分析</w:t>
      </w:r>
    </w:p>
    <w:p>
      <w:pPr>
        <w:pStyle w:val="Heading2"/>
        <w:spacing w:after="160" w:before="280"/>
      </w:pPr>
      <w:r>
        <w:rPr>
          <w:rFonts w:ascii="等线" w:cs="等线" w:eastAsia="等线" w:hAnsi="等线"/>
          <w:b/>
          <w:bCs/>
          <w:color w:val="2E74B5"/>
          <w:sz w:val="26"/>
          <w:szCs w:val="26"/>
        </w:rPr>
        <w:t xml:space="preserve">1.1  产品要素</w:t>
      </w:r>
    </w:p>
    <w:p>
      <w:pPr>
        <w:spacing w:after="120" w:before="120" w:line="360"/>
        <w:jc w:val="both"/>
      </w:pPr>
      <w:r>
        <w:rPr>
          <w:rFonts w:ascii="等线" w:cs="等线" w:eastAsia="等线" w:hAnsi="等线"/>
          <w:b w:val="false"/>
          <w:bCs w:val="false"/>
          <w:color w:val="000000"/>
          <w:sz w:val="22"/>
          <w:szCs w:val="22"/>
        </w:rPr>
        <w:t xml:space="preserve">江苏银行房租贷v2方案的核心产品要素如下表所示: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产品要素</w:t>
            </w:r>
          </w:p>
        </w:tc>
        <w:tc>
          <w:tcPr>
            <w:tcW w:type="dxa" w:w="68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具体内容</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年利率</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3.5%(名义利率)</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贷款金额</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一次性年付租金金额</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贷款期数</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12期</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还款方式</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等额本金</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贴息模式</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业主贴息采用前端一次性预收模式,按放款金额的1.89%预先扣回作为利息(等额本金折算年化3.5%)</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资金划付</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受托支付方式直接划付至业主在江苏银行开立的对公账户</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租客体验</w:t>
            </w:r>
          </w:p>
        </w:tc>
        <w:tc>
          <w:tcPr>
            <w:tcW w:type="dxa" w:w="6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零利息、无感贷款,每月仅按本金还款</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产品采取"租客借款、业主贴息、受托支付"的三方架构。租客作为借款主体向银行申请12期等额本金消费贷,贷款金额等同于年付租金。资金通过受托支付方式直接划付至业主在江苏银行开立的对公账户,在划付同时,银行按放款金额的1.89%预先扣下作为贴息利息收入,业主实际到账金额为贷款本金的98.11%。</w:t>
      </w:r>
    </w:p>
    <w:p>
      <w:pPr>
        <w:pStyle w:val="Heading2"/>
        <w:spacing w:after="160" w:before="280"/>
      </w:pPr>
      <w:r>
        <w:rPr>
          <w:rFonts w:ascii="等线" w:cs="等线" w:eastAsia="等线" w:hAnsi="等线"/>
          <w:b/>
          <w:bCs/>
          <w:color w:val="2E74B5"/>
          <w:sz w:val="26"/>
          <w:szCs w:val="26"/>
        </w:rPr>
        <w:t xml:space="preserve">1.2  数字验算</w:t>
      </w:r>
    </w:p>
    <w:p>
      <w:pPr>
        <w:spacing w:after="120" w:before="120" w:line="360"/>
        <w:jc w:val="both"/>
      </w:pPr>
      <w:r>
        <w:rPr>
          <w:rFonts w:ascii="等线" w:cs="等线" w:eastAsia="等线" w:hAnsi="等线"/>
          <w:b w:val="false"/>
          <w:bCs w:val="false"/>
          <w:color w:val="000000"/>
          <w:sz w:val="22"/>
          <w:szCs w:val="22"/>
        </w:rPr>
        <w:t xml:space="preserve">按方案样例(月租金5000元、业主对一次性年付客户提供97折优惠)进行核算,各项数字均能对应: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核算项目</w:t>
            </w:r>
          </w:p>
        </w:tc>
        <w:tc>
          <w:tcPr>
            <w:tcW w:type="dxa" w:w="3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计算公式</w:t>
            </w:r>
          </w:p>
        </w:tc>
        <w:tc>
          <w:tcPr>
            <w:tcW w:type="dxa" w:w="25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结果</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年总租金(原价)</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5000 × 12</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60,000元</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贷款本金(97折)</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60,000 × 97%</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58,200元</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预收贴息</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 × 1.89%</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≈1,100元</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等额本金月还款</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 ÷ 12</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4,850元</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12期总利息验算</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(58,200+4,850)÷2 × 3.5%</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≈1,103元</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业主实际到账</w:t>
            </w:r>
          </w:p>
        </w:tc>
        <w:tc>
          <w:tcPr>
            <w:tcW w:type="dxa" w:w="3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58,200 − 1,103</w:t>
            </w:r>
          </w:p>
        </w:tc>
        <w:tc>
          <w:tcPr>
            <w:tcW w:type="dxa" w:w="2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57,097元</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预收贴息1.89%本质上是等额本金12期、年利率3.5%条件下的总利息折算系数。每月平均占用本金为(58,200+4,850)÷2=31,525元,12个月总利息约为31,525×3.5%=1,103元,与方案数字完全吻合。这意味着银行实际取得的年化收益率就是3.5%,只不过通过前端一次性预扣的方式锁定了风险。</w:t>
      </w:r>
    </w:p>
    <w:p>
      <w:pPr>
        <w:pStyle w:val="Heading2"/>
        <w:spacing w:after="160" w:before="280"/>
      </w:pPr>
      <w:r>
        <w:rPr>
          <w:rFonts w:ascii="等线" w:cs="等线" w:eastAsia="等线" w:hAnsi="等线"/>
          <w:b/>
          <w:bCs/>
          <w:color w:val="2E74B5"/>
          <w:sz w:val="26"/>
          <w:szCs w:val="26"/>
        </w:rPr>
        <w:t xml:space="preserve">1.3  三方收益分析</w:t>
      </w:r>
    </w:p>
    <w:p>
      <w:pPr>
        <w:spacing w:after="120" w:before="120" w:line="360"/>
        <w:jc w:val="both"/>
      </w:pPr>
      <w:r>
        <w:rPr>
          <w:rFonts w:ascii="等线" w:cs="等线" w:eastAsia="等线" w:hAnsi="等线"/>
          <w:b w:val="false"/>
          <w:bCs w:val="false"/>
          <w:color w:val="000000"/>
          <w:sz w:val="22"/>
          <w:szCs w:val="22"/>
        </w:rPr>
        <w:t xml:space="preserve">方案中三方付款方式对比的核心数据如下: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对比维度</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正常月付</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一次性年付</w:t>
            </w:r>
          </w:p>
        </w:tc>
        <w:tc>
          <w:tcPr>
            <w:tcW w:type="dxa" w:w="2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贷款分期付</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租客视角折扣</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无折扣</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97折</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97折</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租客年总支出</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60,000元</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58,200元</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58,200元</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租客前端支出</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0元</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58,200元</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0元</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租客月度支出</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5,000元</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0元</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4,850元</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业主视角折扣</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无折扣</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95折(对照基准)</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97折</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业主年总收入</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60,000元</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57,000元</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57,097元</w:t>
            </w:r>
          </w:p>
        </w:tc>
      </w:tr>
    </w:tbl>
    <w:p>
      <w:r>
        <w:rPr>
          <w:rFonts w:ascii="等线" w:cs="等线" w:eastAsia="等线" w:hAnsi="等线"/>
        </w:rPr>
        <w:t xml:space="preserve"/>
      </w:r>
    </w:p>
    <w:p>
      <w:pPr>
        <w:spacing w:after="120" w:before="120" w:line="360"/>
        <w:jc w:val="both"/>
      </w:pPr>
      <w:r>
        <w:rPr>
          <w:rFonts w:ascii="等线" w:cs="等线" w:eastAsia="等线" w:hAnsi="等线"/>
          <w:sz w:val="22"/>
          <w:szCs w:val="22"/>
        </w:rPr>
        <w:t xml:space="preserve">值得注意的是,方案在租客端使用"一次性年付97折"作为对照基准,在业主端却悄然切换为"一次性年付95折"作为对照基准。</w:t>
      </w:r>
      <w:r>
        <w:rPr>
          <w:rFonts w:ascii="等线" w:cs="等线" w:eastAsia="等线" w:hAnsi="等线"/>
          <w:b/>
          <w:bCs/>
          <w:color w:val="000000"/>
          <w:sz w:val="22"/>
          <w:szCs w:val="22"/>
        </w:rPr>
        <w:t xml:space="preserve">这一基准切换是方案商业逻辑能够成立的关键:</w:t>
      </w:r>
      <w:r>
        <w:rPr>
          <w:rFonts w:ascii="等线" w:cs="等线" w:eastAsia="等线" w:hAnsi="等线"/>
          <w:sz w:val="22"/>
          <w:szCs w:val="22"/>
        </w:rPr>
        <w:t xml:space="preserve">业主以多让2%折扣的代价,换取了快速回笼资金、提升出租竞争力的收益。这一巧妙设计需要在合作业主的沟通中清晰传达,否则业主可能感知不到价值。</w:t>
      </w:r>
    </w:p>
    <w:p>
      <w:pPr>
        <w:pStyle w:val="Heading2"/>
        <w:spacing w:after="160" w:before="280"/>
      </w:pPr>
      <w:r>
        <w:rPr>
          <w:rFonts w:ascii="等线" w:cs="等线" w:eastAsia="等线" w:hAnsi="等线"/>
          <w:b/>
          <w:bCs/>
          <w:color w:val="2E74B5"/>
          <w:sz w:val="26"/>
          <w:szCs w:val="26"/>
        </w:rPr>
        <w:t xml:space="preserve">1.4  产品本质判断</w:t>
      </w:r>
    </w:p>
    <w:p>
      <w:pPr>
        <w:spacing w:after="120" w:before="120" w:line="360"/>
        <w:jc w:val="both"/>
      </w:pPr>
      <w:r>
        <w:rPr>
          <w:rFonts w:ascii="等线" w:cs="等线" w:eastAsia="等线" w:hAnsi="等线"/>
          <w:b w:val="false"/>
          <w:bCs w:val="false"/>
          <w:color w:val="000000"/>
          <w:sz w:val="22"/>
          <w:szCs w:val="22"/>
        </w:rPr>
        <w:t xml:space="preserve">剥离"无感贷款"的包装,该产品本质上是一款租金分期产品,利息成本被前置转嫁给业主。产品设计的精妙之处在于:</w:t>
      </w:r>
    </w:p>
    <w:p>
      <w:pPr>
        <w:pStyle w:val="ListParagraph"/>
        <w:numPr>
          <w:ilvl w:val="0"/>
          <w:numId w:val="2"/>
        </w:numPr>
        <w:spacing w:after="80" w:before="80" w:line="340"/>
      </w:pPr>
      <w:r>
        <w:rPr>
          <w:rFonts w:ascii="等线" w:cs="等线" w:eastAsia="等线" w:hAnsi="等线"/>
          <w:b/>
          <w:bCs/>
          <w:sz w:val="22"/>
          <w:szCs w:val="22"/>
        </w:rPr>
        <w:t xml:space="preserve">银行收益前端锁定</w:t>
      </w:r>
      <w:r>
        <w:rPr>
          <w:rFonts w:ascii="等线" w:cs="等线" w:eastAsia="等线" w:hAnsi="等线"/>
          <w:sz w:val="22"/>
          <w:szCs w:val="22"/>
        </w:rPr>
        <w:t xml:space="preserve">:通过预扣贴息机制,利息已在放款时收回,信用风险大幅降低</w:t>
      </w:r>
    </w:p>
    <w:p>
      <w:pPr>
        <w:pStyle w:val="ListParagraph"/>
        <w:numPr>
          <w:ilvl w:val="0"/>
          <w:numId w:val="2"/>
        </w:numPr>
        <w:spacing w:after="80" w:before="80" w:line="340"/>
      </w:pPr>
      <w:r>
        <w:rPr>
          <w:rFonts w:ascii="等线" w:cs="等线" w:eastAsia="等线" w:hAnsi="等线"/>
          <w:b/>
          <w:bCs/>
          <w:sz w:val="22"/>
          <w:szCs w:val="22"/>
        </w:rPr>
        <w:t xml:space="preserve">撬动对公业务</w:t>
      </w:r>
      <w:r>
        <w:rPr>
          <w:rFonts w:ascii="等线" w:cs="等线" w:eastAsia="等线" w:hAnsi="等线"/>
          <w:sz w:val="22"/>
          <w:szCs w:val="22"/>
        </w:rPr>
        <w:t xml:space="preserve">:受托支付要求业主必须在江苏银行开立对公账户,带动对公存款沉淀和综合金融机会</w:t>
      </w:r>
    </w:p>
    <w:p>
      <w:pPr>
        <w:pStyle w:val="ListParagraph"/>
        <w:numPr>
          <w:ilvl w:val="0"/>
          <w:numId w:val="2"/>
        </w:numPr>
        <w:spacing w:after="80" w:before="80" w:line="340"/>
      </w:pPr>
      <w:r>
        <w:rPr>
          <w:rFonts w:ascii="等线" w:cs="等线" w:eastAsia="等线" w:hAnsi="等线"/>
          <w:b/>
          <w:bCs/>
          <w:sz w:val="22"/>
          <w:szCs w:val="22"/>
        </w:rPr>
        <w:t xml:space="preserve">降低租客心理门槛</w:t>
      </w:r>
      <w:r>
        <w:rPr>
          <w:rFonts w:ascii="等线" w:cs="等线" w:eastAsia="等线" w:hAnsi="等线"/>
          <w:sz w:val="22"/>
          <w:szCs w:val="22"/>
        </w:rPr>
        <w:t xml:space="preserve">:"零利率"的概念远比"分期付款"更具吸引力,显著提升签约转化率</w:t>
      </w:r>
    </w:p>
    <w:p>
      <w:pPr>
        <w:pStyle w:val="ListParagraph"/>
        <w:numPr>
          <w:ilvl w:val="0"/>
          <w:numId w:val="2"/>
        </w:numPr>
        <w:spacing w:after="80" w:before="80" w:line="340"/>
      </w:pPr>
      <w:r>
        <w:rPr>
          <w:rFonts w:ascii="等线" w:cs="等线" w:eastAsia="等线" w:hAnsi="等线"/>
          <w:b/>
          <w:bCs/>
          <w:sz w:val="22"/>
          <w:szCs w:val="22"/>
        </w:rPr>
        <w:t xml:space="preserve">锁定优质客群</w:t>
      </w:r>
      <w:r>
        <w:rPr>
          <w:rFonts w:ascii="等线" w:cs="等线" w:eastAsia="等线" w:hAnsi="等线"/>
          <w:sz w:val="22"/>
          <w:szCs w:val="22"/>
        </w:rPr>
        <w:t xml:space="preserve">:通过资金流转结构隐含地筛选了具备稳定收入的体制内客群</w:t>
      </w:r>
    </w:p>
    <w:p>
      <w:r>
        <w:br w:type="page"/>
      </w:r>
    </w:p>
    <w:p>
      <w:pPr>
        <w:pStyle w:val="Heading1"/>
        <w:spacing w:after="200" w:before="360"/>
      </w:pPr>
      <w:r>
        <w:rPr>
          <w:rFonts w:ascii="等线" w:cs="等线" w:eastAsia="等线" w:hAnsi="等线"/>
          <w:b/>
          <w:bCs/>
          <w:color w:val="1F3864"/>
          <w:sz w:val="32"/>
          <w:szCs w:val="32"/>
        </w:rPr>
        <w:t xml:space="preserve">第二章  市场规模与竞争格局</w:t>
      </w:r>
    </w:p>
    <w:p>
      <w:pPr>
        <w:pStyle w:val="Heading2"/>
        <w:spacing w:after="160" w:before="280"/>
      </w:pPr>
      <w:r>
        <w:rPr>
          <w:rFonts w:ascii="等线" w:cs="等线" w:eastAsia="等线" w:hAnsi="等线"/>
          <w:b/>
          <w:bCs/>
          <w:color w:val="2E74B5"/>
          <w:sz w:val="26"/>
          <w:szCs w:val="26"/>
        </w:rPr>
        <w:t xml:space="preserve">2.1  全国住房租赁市场</w:t>
      </w:r>
    </w:p>
    <w:p>
      <w:pPr>
        <w:spacing w:after="120" w:before="120" w:line="360"/>
        <w:jc w:val="both"/>
      </w:pPr>
      <w:r>
        <w:rPr>
          <w:rFonts w:ascii="等线" w:cs="等线" w:eastAsia="等线" w:hAnsi="等线"/>
          <w:b w:val="false"/>
          <w:bCs w:val="false"/>
          <w:color w:val="000000"/>
          <w:sz w:val="22"/>
          <w:szCs w:val="22"/>
        </w:rPr>
        <w:t xml:space="preserve">根据中金公司测算,中国城镇租房群体规模约1.9-2.2亿人,租赁住房市场总租金规模(GMV)已接近2万亿元级别。中长期看,2035年中国城镇整体租房比例预计提升至27%左右,接近海外成熟经济体水平。中国住房租赁市场长期空间巨大,行业研究机构普遍预测2026年市场规模将突破3.5万亿元。</w:t>
      </w:r>
    </w:p>
    <w:p>
      <w:pPr>
        <w:spacing w:after="120" w:before="120" w:line="360"/>
        <w:jc w:val="both"/>
      </w:pPr>
      <w:r>
        <w:rPr>
          <w:rFonts w:ascii="等线" w:cs="等线" w:eastAsia="等线" w:hAnsi="等线"/>
          <w:b w:val="false"/>
          <w:bCs w:val="false"/>
          <w:color w:val="000000"/>
          <w:sz w:val="22"/>
          <w:szCs w:val="22"/>
        </w:rPr>
        <w:t xml:space="preserve">2025年市场处于结构性调整期:全国50城住宅平均租金34.16元/平方米/月,同比下跌3.62%,1-11月累计下跌3.04%。租金端的下行实际上对房租贷形成顺风——租客对价格敏感度上升,折扣换分期的吸引力增强,产品的市场切入时机较好。</w:t>
      </w:r>
    </w:p>
    <w:p>
      <w:pPr>
        <w:spacing w:after="120" w:before="120" w:line="360"/>
        <w:jc w:val="both"/>
      </w:pPr>
      <w:r>
        <w:rPr>
          <w:rFonts w:ascii="等线" w:cs="等线" w:eastAsia="等线" w:hAnsi="等线"/>
          <w:b w:val="false"/>
          <w:bCs w:val="false"/>
          <w:color w:val="000000"/>
          <w:sz w:val="22"/>
          <w:szCs w:val="22"/>
        </w:rPr>
        <w:t xml:space="preserve">机构化运营层面是房租贷的核心可寻址市场。截至2025年末:</w:t>
      </w:r>
    </w:p>
    <w:p>
      <w:pPr>
        <w:pStyle w:val="ListParagraph"/>
        <w:numPr>
          <w:ilvl w:val="0"/>
          <w:numId w:val="2"/>
        </w:numPr>
        <w:spacing w:after="80" w:before="80" w:line="340"/>
      </w:pPr>
      <w:r>
        <w:rPr>
          <w:rFonts w:ascii="等线" w:cs="等线" w:eastAsia="等线" w:hAnsi="等线"/>
          <w:sz w:val="22"/>
          <w:szCs w:val="22"/>
        </w:rPr>
        <w:t xml:space="preserve">全国TOP30住房租赁企业开业房源约142.5万间</w:t>
      </w:r>
    </w:p>
    <w:p>
      <w:pPr>
        <w:pStyle w:val="ListParagraph"/>
        <w:numPr>
          <w:ilvl w:val="0"/>
          <w:numId w:val="2"/>
        </w:numPr>
        <w:spacing w:after="80" w:before="80" w:line="340"/>
      </w:pPr>
      <w:r>
        <w:rPr>
          <w:rFonts w:ascii="等线" w:cs="等线" w:eastAsia="等线" w:hAnsi="等线"/>
          <w:sz w:val="22"/>
          <w:szCs w:val="22"/>
        </w:rPr>
        <w:t xml:space="preserve">管理房源突破203.4万间</w:t>
      </w:r>
    </w:p>
    <w:p>
      <w:pPr>
        <w:pStyle w:val="ListParagraph"/>
        <w:numPr>
          <w:ilvl w:val="0"/>
          <w:numId w:val="2"/>
        </w:numPr>
        <w:spacing w:after="80" w:before="80" w:line="340"/>
      </w:pPr>
      <w:r>
        <w:rPr>
          <w:rFonts w:ascii="等线" w:cs="等线" w:eastAsia="等线" w:hAnsi="等线"/>
          <w:sz w:val="22"/>
          <w:szCs w:val="22"/>
        </w:rPr>
        <w:t xml:space="preserve">"十四五"期间全国保障性租赁住房计划供给821万套,已实际筹建超过400万套</w:t>
      </w:r>
    </w:p>
    <w:p>
      <w:pPr>
        <w:pStyle w:val="ListParagraph"/>
        <w:numPr>
          <w:ilvl w:val="0"/>
          <w:numId w:val="2"/>
        </w:numPr>
        <w:spacing w:after="80" w:before="80" w:line="340"/>
      </w:pPr>
      <w:r>
        <w:rPr>
          <w:rFonts w:ascii="等线" w:cs="等线" w:eastAsia="等线" w:hAnsi="等线"/>
          <w:sz w:val="22"/>
          <w:szCs w:val="22"/>
        </w:rPr>
        <w:t xml:space="preserve">保租房REITs迈入"首发+扩募"双轮驱动阶段,8支保租房REITs首发规模约121亿元</w:t>
      </w:r>
    </w:p>
    <w:p>
      <w:pPr>
        <w:pStyle w:val="Heading2"/>
        <w:spacing w:after="160" w:before="280"/>
      </w:pPr>
      <w:r>
        <w:rPr>
          <w:rFonts w:ascii="等线" w:cs="等线" w:eastAsia="等线" w:hAnsi="等线"/>
          <w:b/>
          <w:bCs/>
          <w:color w:val="2E74B5"/>
          <w:sz w:val="26"/>
          <w:szCs w:val="26"/>
        </w:rPr>
        <w:t xml:space="preserve">2.2  江苏省市场</w:t>
      </w:r>
    </w:p>
    <w:p>
      <w:pPr>
        <w:spacing w:after="120" w:before="120" w:line="360"/>
        <w:jc w:val="both"/>
      </w:pPr>
      <w:r>
        <w:rPr>
          <w:rFonts w:ascii="等线" w:cs="等线" w:eastAsia="等线" w:hAnsi="等线"/>
          <w:b w:val="false"/>
          <w:bCs w:val="false"/>
          <w:color w:val="000000"/>
          <w:sz w:val="22"/>
          <w:szCs w:val="22"/>
        </w:rPr>
        <w:t xml:space="preserve">江苏省住房租赁市场是江苏银行房租贷推广的核心区域,具备以下特征:</w:t>
      </w:r>
    </w:p>
    <w:p>
      <w:pPr>
        <w:spacing w:after="120" w:before="120" w:line="360"/>
        <w:jc w:val="both"/>
      </w:pPr>
      <w:r>
        <w:rPr>
          <w:rFonts w:ascii="等线" w:cs="等线" w:eastAsia="等线" w:hAnsi="等线"/>
          <w:b w:val="false"/>
          <w:bCs w:val="false"/>
          <w:color w:val="000000"/>
          <w:sz w:val="22"/>
          <w:szCs w:val="22"/>
        </w:rPr>
        <w:t xml:space="preserve">保障性租赁住房供给方面,江苏省过去四年累计筹集保障性租赁住房61万套,提前一年并超额完成"十四五"规划58万套的目标任务,全省城镇常住人口保障性住房覆盖率达27.8%,同比提高1.01个百分点。这意味着江苏省已经形成了相对成熟的机构化租赁住房供给体系。</w:t>
      </w:r>
    </w:p>
    <w:p>
      <w:pPr>
        <w:spacing w:after="120" w:before="120" w:line="360"/>
        <w:jc w:val="both"/>
      </w:pPr>
      <w:r>
        <w:rPr>
          <w:rFonts w:ascii="等线" w:cs="等线" w:eastAsia="等线" w:hAnsi="等线"/>
          <w:b w:val="false"/>
          <w:bCs w:val="false"/>
          <w:color w:val="000000"/>
          <w:sz w:val="22"/>
          <w:szCs w:val="22"/>
        </w:rPr>
        <w:t xml:space="preserve">以南京市为例,本土主要租赁运营商规模如下: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运营商</w:t>
            </w:r>
          </w:p>
        </w:tc>
        <w:tc>
          <w:tcPr>
            <w:tcW w:type="dxa" w:w="2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开业规模</w:t>
            </w:r>
          </w:p>
        </w:tc>
        <w:tc>
          <w:tcPr>
            <w:tcW w:type="dxa" w:w="35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类型</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朗诗寓</w:t>
            </w:r>
          </w:p>
        </w:tc>
        <w:tc>
          <w:tcPr>
            <w:tcW w:type="dxa" w:w="2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34,405间</w:t>
            </w:r>
          </w:p>
        </w:tc>
        <w:tc>
          <w:tcPr>
            <w:tcW w:type="dxa" w:w="3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品牌长租公寓</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东南青年汇</w:t>
            </w:r>
          </w:p>
        </w:tc>
        <w:tc>
          <w:tcPr>
            <w:tcW w:type="dxa" w:w="2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13,000间</w:t>
            </w:r>
          </w:p>
        </w:tc>
        <w:tc>
          <w:tcPr>
            <w:tcW w:type="dxa" w:w="3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国资系长租公寓</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安居瑾家</w:t>
            </w:r>
          </w:p>
        </w:tc>
        <w:tc>
          <w:tcPr>
            <w:tcW w:type="dxa" w:w="2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7,643间</w:t>
            </w:r>
          </w:p>
        </w:tc>
        <w:tc>
          <w:tcPr>
            <w:tcW w:type="dxa" w:w="3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国资系保障租赁</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银城佳寓</w:t>
            </w:r>
          </w:p>
        </w:tc>
        <w:tc>
          <w:tcPr>
            <w:tcW w:type="dxa" w:w="2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4,414间</w:t>
            </w:r>
          </w:p>
        </w:tc>
        <w:tc>
          <w:tcPr>
            <w:tcW w:type="dxa" w:w="3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本土品牌公寓</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E+青年公寓</w:t>
            </w:r>
          </w:p>
        </w:tc>
        <w:tc>
          <w:tcPr>
            <w:tcW w:type="dxa" w:w="2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3,855间</w:t>
            </w:r>
          </w:p>
        </w:tc>
        <w:tc>
          <w:tcPr>
            <w:tcW w:type="dxa" w:w="35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民营品牌公寓</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南京市普通公寓2024年前三季度平均租金约58元/月/平方米,项目平均出租率85.6%。租客平均租住面积约53平方米,即月租金约3,100元,年租金约37,000元,与产品方案中5,000元/月的样例租金属于同一量级。苏州、无锡两市租金水平略低于南京但租赁需求同样旺盛。</w:t>
      </w:r>
    </w:p>
    <w:p>
      <w:pPr>
        <w:pStyle w:val="Heading2"/>
        <w:spacing w:after="160" w:before="280"/>
      </w:pPr>
      <w:r>
        <w:rPr>
          <w:rFonts w:ascii="等线" w:cs="等线" w:eastAsia="等线" w:hAnsi="等线"/>
          <w:b/>
          <w:bCs/>
          <w:color w:val="2E74B5"/>
          <w:sz w:val="26"/>
          <w:szCs w:val="26"/>
        </w:rPr>
        <w:t xml:space="preserve">2.3  可寻址市场测算</w:t>
      </w:r>
    </w:p>
    <w:p>
      <w:pPr>
        <w:spacing w:after="120" w:before="120" w:line="360"/>
        <w:jc w:val="both"/>
      </w:pPr>
      <w:r>
        <w:rPr>
          <w:rFonts w:ascii="等线" w:cs="等线" w:eastAsia="等线" w:hAnsi="等线"/>
          <w:b w:val="false"/>
          <w:bCs w:val="false"/>
          <w:color w:val="000000"/>
          <w:sz w:val="22"/>
          <w:szCs w:val="22"/>
        </w:rPr>
        <w:t xml:space="preserve">基于以下假设进行江苏省内房租贷可寻址市场测算:</w:t>
      </w:r>
    </w:p>
    <w:p>
      <w:pPr>
        <w:pStyle w:val="ListParagraph"/>
        <w:numPr>
          <w:ilvl w:val="0"/>
          <w:numId w:val="2"/>
        </w:numPr>
        <w:spacing w:after="80" w:before="80" w:line="340"/>
      </w:pPr>
      <w:r>
        <w:rPr>
          <w:rFonts w:ascii="等线" w:cs="等线" w:eastAsia="等线" w:hAnsi="等线"/>
          <w:sz w:val="22"/>
          <w:szCs w:val="22"/>
        </w:rPr>
        <w:t xml:space="preserve">机构化运营房源:保租房61万套 + 估算品牌长租公寓20-30万套 ≈ 80-90万套</w:t>
      </w:r>
    </w:p>
    <w:p>
      <w:pPr>
        <w:pStyle w:val="ListParagraph"/>
        <w:numPr>
          <w:ilvl w:val="0"/>
          <w:numId w:val="2"/>
        </w:numPr>
        <w:spacing w:after="80" w:before="80" w:line="340"/>
      </w:pPr>
      <w:r>
        <w:rPr>
          <w:rFonts w:ascii="等线" w:cs="等线" w:eastAsia="等线" w:hAnsi="等线"/>
          <w:sz w:val="22"/>
          <w:szCs w:val="22"/>
        </w:rPr>
        <w:t xml:space="preserve">平均年租金:3-5万元/套(按江苏省内城市租金水平加权)</w:t>
      </w:r>
    </w:p>
    <w:p>
      <w:pPr>
        <w:pStyle w:val="ListParagraph"/>
        <w:numPr>
          <w:ilvl w:val="0"/>
          <w:numId w:val="2"/>
        </w:numPr>
        <w:spacing w:after="80" w:before="80" w:line="340"/>
      </w:pPr>
      <w:r>
        <w:rPr>
          <w:rFonts w:ascii="等线" w:cs="等线" w:eastAsia="等线" w:hAnsi="等线"/>
          <w:sz w:val="22"/>
          <w:szCs w:val="22"/>
        </w:rPr>
        <w:t xml:space="preserve">房租贷渗透率:15-30%(中性假设)</w:t>
      </w:r>
    </w:p>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据此测算的年放款规模区间如下: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情景</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房源数</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年租金</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渗透率</w:t>
            </w:r>
          </w:p>
        </w:tc>
        <w:tc>
          <w:tcPr>
            <w:tcW w:type="dxa" w:w="18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年放款规模</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保守</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80万套</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3万元</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15%</w:t>
            </w:r>
          </w:p>
        </w:tc>
        <w:tc>
          <w:tcPr>
            <w:tcW w:type="dxa" w:w="1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360亿元</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中性</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85万套</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4万元</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22%</w:t>
            </w:r>
          </w:p>
        </w:tc>
        <w:tc>
          <w:tcPr>
            <w:tcW w:type="dxa" w:w="1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约750亿元</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乐观</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90万套</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5万元</w:t>
            </w:r>
          </w:p>
        </w:tc>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30%</w:t>
            </w:r>
          </w:p>
        </w:tc>
        <w:tc>
          <w:tcPr>
            <w:tcW w:type="dxa" w:w="1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约1,350亿元</w:t>
            </w:r>
          </w:p>
        </w:tc>
      </w:tr>
    </w:tbl>
    <w:p>
      <w:r>
        <w:rPr>
          <w:rFonts w:ascii="等线" w:cs="等线" w:eastAsia="等线" w:hAnsi="等线"/>
        </w:rPr>
        <w:t xml:space="preserve"/>
      </w:r>
    </w:p>
    <w:p>
      <w:pPr>
        <w:spacing w:after="120" w:before="120" w:line="360"/>
        <w:jc w:val="both"/>
      </w:pPr>
      <w:r>
        <w:rPr>
          <w:rFonts w:ascii="等线" w:cs="等线" w:eastAsia="等线" w:hAnsi="等线"/>
          <w:sz w:val="22"/>
          <w:szCs w:val="22"/>
        </w:rPr>
        <w:t xml:space="preserve">对照江苏银行2025年末贷款余额(约2.3万亿元),该业务可贡献贷款余额的</w:t>
      </w:r>
      <w:r>
        <w:rPr>
          <w:rFonts w:ascii="等线" w:cs="等线" w:eastAsia="等线" w:hAnsi="等线"/>
          <w:b/>
          <w:bCs/>
          <w:color w:val="000000"/>
          <w:sz w:val="22"/>
          <w:szCs w:val="22"/>
        </w:rPr>
        <w:t xml:space="preserve">2-5%</w:t>
      </w:r>
      <w:r>
        <w:rPr>
          <w:rFonts w:ascii="等线" w:cs="等线" w:eastAsia="等线" w:hAnsi="等线"/>
          <w:sz w:val="22"/>
          <w:szCs w:val="22"/>
        </w:rPr>
        <w:t xml:space="preserve">,属于具有战略意义但不会颠覆零售盘子的体量。考虑到产品对应的优质客群信用质量优于消费贷平均水平,且利息收入已通过前端预扣锁定,该业务的风险调整后收益(RAROC)预计显著高于一般消费贷产品。</w:t>
      </w:r>
    </w:p>
    <w:p>
      <w:pPr>
        <w:pStyle w:val="Heading2"/>
        <w:spacing w:after="160" w:before="280"/>
      </w:pPr>
      <w:r>
        <w:rPr>
          <w:rFonts w:ascii="等线" w:cs="等线" w:eastAsia="等线" w:hAnsi="等线"/>
          <w:b/>
          <w:bCs/>
          <w:color w:val="2E74B5"/>
          <w:sz w:val="26"/>
          <w:szCs w:val="26"/>
        </w:rPr>
        <w:t xml:space="preserve">2.4  同业产品对标</w:t>
      </w:r>
    </w:p>
    <w:p>
      <w:pPr>
        <w:spacing w:after="120" w:before="120" w:line="360"/>
        <w:jc w:val="both"/>
      </w:pPr>
      <w:r>
        <w:rPr>
          <w:rFonts w:ascii="等线" w:cs="等线" w:eastAsia="等线" w:hAnsi="等线"/>
          <w:b w:val="false"/>
          <w:bCs w:val="false"/>
          <w:color w:val="000000"/>
          <w:sz w:val="22"/>
          <w:szCs w:val="22"/>
        </w:rPr>
        <w:t xml:space="preserve">国内主流银行已布局的同类产品包括: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银行/产品</w:t>
            </w:r>
          </w:p>
        </w:tc>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主要模式</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核心特点</w:t>
            </w:r>
          </w:p>
        </w:tc>
        <w:tc>
          <w:tcPr>
            <w:tcW w:type="dxa" w:w="2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差异化</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招商银行租房贷</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C端消费贷</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无业主贴息,租客承担利息</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依托零售客户基础</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建设银行安居贷</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B端经营贷+C端</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长租公寓经营贷为主</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对接住建部公租房平台</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工行个人租赁贷</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C端消费贷</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利率较高,期限较灵活</w:t>
            </w:r>
          </w:p>
        </w:tc>
        <w:tc>
          <w:tcPr>
            <w:tcW w:type="dxa" w:w="2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覆盖范围广</w:t>
            </w:r>
          </w:p>
        </w:tc>
      </w:tr>
      <w:tr>
        <w:tc>
          <w:tcPr>
            <w:tcW w:type="dxa" w:w="22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江苏银行房租贷v2</w:t>
            </w:r>
          </w:p>
        </w:tc>
        <w:tc>
          <w:tcPr>
            <w:tcW w:type="dxa" w:w="24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C端+业主贴息</w:t>
            </w:r>
          </w:p>
        </w:tc>
        <w:tc>
          <w:tcPr>
            <w:tcW w:type="dxa" w:w="22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零利率体验,前端锁定收益</w:t>
            </w:r>
          </w:p>
        </w:tc>
        <w:tc>
          <w:tcPr>
            <w:tcW w:type="dxa" w:w="2226"/>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三方价值平衡设计</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江苏银行房租贷v2方案在"业主贴息+受托支付+12期短期"的组合上具有明显差异化优势:利率体验更友好、银行风险更可控、产品设计更精巧。但同业的经验也表明一个关键判断——业主侧风控是这类产品能否做大的最关键变量,前期市场上失败的同类产品几乎都倒在业主端的道德风险上。</w:t>
      </w:r>
    </w:p>
    <w:p>
      <w:r>
        <w:br w:type="page"/>
      </w:r>
    </w:p>
    <w:p>
      <w:pPr>
        <w:pStyle w:val="Heading1"/>
        <w:spacing w:after="200" w:before="360"/>
      </w:pPr>
      <w:r>
        <w:rPr>
          <w:rFonts w:ascii="等线" w:cs="等线" w:eastAsia="等线" w:hAnsi="等线"/>
          <w:b/>
          <w:bCs/>
          <w:color w:val="1F3864"/>
          <w:sz w:val="32"/>
          <w:szCs w:val="32"/>
        </w:rPr>
        <w:t xml:space="preserve">第三章  目标客群分级</w:t>
      </w:r>
    </w:p>
    <w:p>
      <w:pPr>
        <w:pStyle w:val="Heading2"/>
        <w:spacing w:after="160" w:before="280"/>
      </w:pPr>
      <w:r>
        <w:rPr>
          <w:rFonts w:ascii="等线" w:cs="等线" w:eastAsia="等线" w:hAnsi="等线"/>
          <w:b/>
          <w:bCs/>
          <w:color w:val="2E74B5"/>
          <w:sz w:val="26"/>
          <w:szCs w:val="26"/>
        </w:rPr>
        <w:t xml:space="preserve">3.1  C端租客分级</w:t>
      </w:r>
    </w:p>
    <w:p>
      <w:pPr>
        <w:spacing w:after="120" w:before="120" w:line="360"/>
        <w:jc w:val="both"/>
      </w:pPr>
      <w:r>
        <w:rPr>
          <w:rFonts w:ascii="等线" w:cs="等线" w:eastAsia="等线" w:hAnsi="等线"/>
          <w:b w:val="false"/>
          <w:bCs w:val="false"/>
          <w:color w:val="000000"/>
          <w:sz w:val="22"/>
          <w:szCs w:val="22"/>
        </w:rPr>
        <w:t xml:space="preserve">C端客户必须按职业稳定性、收入水平、违约成本进行三层分级,而非笼统标注"优质租客"。三层客群对应的市场策略和风险敞口完全不同。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226"/>
      </w:tblGrid>
      <w:tr>
        <w:trPr>
          <w:tblHeader/>
        </w:trPr>
        <w:tc>
          <w:tcPr>
            <w:tcW w:type="dxa" w:w="1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层级</w:t>
            </w:r>
          </w:p>
        </w:tc>
        <w:tc>
          <w:tcPr>
            <w:tcW w:type="dxa" w:w="2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目标群体</w:t>
            </w:r>
          </w:p>
        </w:tc>
        <w:tc>
          <w:tcPr>
            <w:tcW w:type="dxa" w:w="2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客户特征</w:t>
            </w:r>
          </w:p>
        </w:tc>
        <w:tc>
          <w:tcPr>
            <w:tcW w:type="dxa" w:w="2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策略定位</w:t>
            </w:r>
          </w:p>
        </w:tc>
      </w:tr>
      <w:tr>
        <w:tc>
          <w:tcPr>
            <w:tcW w:type="dxa" w:w="15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核心层(必拿)</w:t>
            </w:r>
          </w:p>
        </w:tc>
        <w:tc>
          <w:tcPr>
            <w:tcW w:type="dxa" w:w="28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公务员、事业单位、国央企正式员工、教师、医生</w:t>
            </w:r>
          </w:p>
        </w:tc>
        <w:tc>
          <w:tcPr>
            <w:tcW w:type="dxa" w:w="25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月薪8K-25K,年龄25-40,信用极佳,违约率极低</w:t>
            </w:r>
          </w:p>
        </w:tc>
        <w:tc>
          <w:tcPr>
            <w:tcW w:type="dxa" w:w="2226"/>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主要目标,通过单位代发工资客户精准营销</w:t>
            </w:r>
          </w:p>
        </w:tc>
      </w:tr>
      <w:tr>
        <w:tc>
          <w:tcPr>
            <w:tcW w:type="dxa" w:w="15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机会层(可选)</w:t>
            </w:r>
          </w:p>
        </w:tc>
        <w:tc>
          <w:tcPr>
            <w:tcW w:type="dxa" w:w="28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金融机构白领、头部互联网公司员工、专业事务所员工</w:t>
            </w:r>
          </w:p>
        </w:tc>
        <w:tc>
          <w:tcPr>
            <w:tcW w:type="dxa" w:w="25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收入更高但流动性也高,需在职年限筛选</w:t>
            </w:r>
          </w:p>
        </w:tc>
        <w:tc>
          <w:tcPr>
            <w:tcW w:type="dxa" w:w="2226"/>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差异化定价,要求在职≥12个月,合同稳定</w:t>
            </w:r>
          </w:p>
        </w:tc>
      </w:tr>
      <w:tr>
        <w:tc>
          <w:tcPr>
            <w:tcW w:type="dxa" w:w="15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避开层(排除)</w:t>
            </w:r>
          </w:p>
        </w:tc>
        <w:tc>
          <w:tcPr>
            <w:tcW w:type="dxa" w:w="28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自由职业、灵活就业、刚毕业、月薪低于房租3倍人群</w:t>
            </w:r>
          </w:p>
        </w:tc>
        <w:tc>
          <w:tcPr>
            <w:tcW w:type="dxa" w:w="25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现金流紧张,违约概率高,合规可做空间窄</w:t>
            </w:r>
          </w:p>
        </w:tc>
        <w:tc>
          <w:tcPr>
            <w:tcW w:type="dxa" w:w="2226"/>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永久不纳入服务范围,避免引发系统性风险</w:t>
            </w:r>
          </w:p>
        </w:tc>
      </w:tr>
    </w:tbl>
    <w:p>
      <w:r>
        <w:rPr>
          <w:rFonts w:ascii="等线" w:cs="等线" w:eastAsia="等线" w:hAnsi="等线"/>
        </w:rPr>
        <w:t xml:space="preserve"/>
      </w:r>
    </w:p>
    <w:p>
      <w:pPr>
        <w:spacing w:after="120" w:before="120" w:line="360"/>
        <w:jc w:val="both"/>
      </w:pPr>
      <w:r>
        <w:rPr>
          <w:rFonts w:ascii="等线" w:cs="等线" w:eastAsia="等线" w:hAnsi="等线"/>
          <w:b/>
          <w:bCs/>
          <w:color w:val="000000"/>
          <w:sz w:val="22"/>
          <w:szCs w:val="22"/>
        </w:rPr>
        <w:t xml:space="preserve">核心层是产品的主要目标</w:t>
      </w:r>
      <w:r>
        <w:rPr>
          <w:rFonts w:ascii="等线" w:cs="等线" w:eastAsia="等线" w:hAnsi="等线"/>
          <w:sz w:val="22"/>
          <w:szCs w:val="22"/>
        </w:rPr>
        <w:t xml:space="preserve">。体制内稳定收入人群是产品方案明确点名的客群,他们信用记录极佳、提前退租概率低、月薪通常在8K-25K之间,有月付能力但愿意为折扣换分期。3.5%的名义利率对他们是"无感的",4,850元月还款对核心层无任何压力。这部分客群也正是江苏银行代发工资客户和个人零售客户重合度最高的群体,营销路径清晰。</w:t>
      </w:r>
    </w:p>
    <w:p>
      <w:pPr>
        <w:spacing w:after="120" w:before="120" w:line="360"/>
        <w:jc w:val="both"/>
      </w:pPr>
      <w:r>
        <w:rPr>
          <w:rFonts w:ascii="等线" w:cs="等线" w:eastAsia="等线" w:hAnsi="等线"/>
          <w:b/>
          <w:bCs/>
          <w:color w:val="000000"/>
          <w:sz w:val="22"/>
          <w:szCs w:val="22"/>
        </w:rPr>
        <w:t xml:space="preserve">机会层是规模扩张的弹性空间</w:t>
      </w:r>
      <w:r>
        <w:rPr>
          <w:rFonts w:ascii="等线" w:cs="等线" w:eastAsia="等线" w:hAnsi="等线"/>
          <w:sz w:val="22"/>
          <w:szCs w:val="22"/>
        </w:rPr>
        <w:t xml:space="preserve">。金融机构、头部互联网、专业事务所员工收入水平更高,但流动性也更高(跳槽频率较高、城市迁移概率较大)。这部分客群在产品试点期可以保守接入,在风控模型成熟后逐步放开。</w:t>
      </w:r>
    </w:p>
    <w:p>
      <w:pPr>
        <w:spacing w:after="120" w:before="120" w:line="360"/>
        <w:jc w:val="both"/>
      </w:pPr>
      <w:r>
        <w:rPr>
          <w:rFonts w:ascii="等线" w:cs="等线" w:eastAsia="等线" w:hAnsi="等线"/>
          <w:b/>
          <w:bCs/>
          <w:color w:val="000000"/>
          <w:sz w:val="22"/>
          <w:szCs w:val="22"/>
        </w:rPr>
        <w:t xml:space="preserve">避开层是合规和风控的底线</w:t>
      </w:r>
      <w:r>
        <w:rPr>
          <w:rFonts w:ascii="等线" w:cs="等线" w:eastAsia="等线" w:hAnsi="等线"/>
          <w:sz w:val="22"/>
          <w:szCs w:val="22"/>
        </w:rPr>
        <w:t xml:space="preserve">。前期讨论中提到的"周付双周付偏好"群体,合规可做空间窄(综合年化利率容易触及LPR四倍红线),且违约风险高,绝不应纳入服务范围。即便业务规模目标承压,也不应突破这一底线。</w:t>
      </w:r>
    </w:p>
    <w:p>
      <w:pPr>
        <w:pStyle w:val="Heading2"/>
        <w:spacing w:after="160" w:before="280"/>
      </w:pPr>
      <w:r>
        <w:rPr>
          <w:rFonts w:ascii="等线" w:cs="等线" w:eastAsia="等线" w:hAnsi="等线"/>
          <w:b/>
          <w:bCs/>
          <w:color w:val="2E74B5"/>
          <w:sz w:val="26"/>
          <w:szCs w:val="26"/>
        </w:rPr>
        <w:t xml:space="preserve">3.2  B端业主分级(平衡档准入)</w:t>
      </w:r>
    </w:p>
    <w:p>
      <w:pPr>
        <w:spacing w:after="120" w:before="120" w:line="360"/>
        <w:jc w:val="both"/>
      </w:pPr>
      <w:r>
        <w:rPr>
          <w:rFonts w:ascii="等线" w:cs="等线" w:eastAsia="等线" w:hAnsi="等线"/>
          <w:b w:val="false"/>
          <w:bCs w:val="false"/>
          <w:color w:val="000000"/>
          <w:sz w:val="22"/>
          <w:szCs w:val="22"/>
        </w:rPr>
        <w:t xml:space="preserve">基于风险与规模的平衡考虑,业主端准入采取"平衡档"策略:接入对象限定为持牌长租公寓、国央企/政府租赁平台、连锁中介托管房源,永久排除个人散户业主和未注册二房东。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00"/>
        <w:gridCol w:w="2226"/>
      </w:tblGrid>
      <w:tr>
        <w:trPr>
          <w:tblHeader/>
        </w:trPr>
        <w:tc>
          <w:tcPr>
            <w:tcW w:type="dxa" w:w="1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层级</w:t>
            </w:r>
          </w:p>
        </w:tc>
        <w:tc>
          <w:tcPr>
            <w:tcW w:type="dxa" w:w="30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目标对象</w:t>
            </w:r>
          </w:p>
        </w:tc>
        <w:tc>
          <w:tcPr>
            <w:tcW w:type="dxa" w:w="23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代表合作方</w:t>
            </w:r>
          </w:p>
        </w:tc>
        <w:tc>
          <w:tcPr>
            <w:tcW w:type="dxa" w:w="2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合作模式</w:t>
            </w:r>
          </w:p>
        </w:tc>
      </w:tr>
      <w:tr>
        <w:tc>
          <w:tcPr>
            <w:tcW w:type="dxa" w:w="15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第一优先</w:t>
            </w:r>
          </w:p>
        </w:tc>
        <w:tc>
          <w:tcPr>
            <w:tcW w:type="dxa" w:w="30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地方国企租赁平台、品牌长租公寓TOP10</w:t>
            </w:r>
          </w:p>
        </w:tc>
        <w:tc>
          <w:tcPr>
            <w:tcW w:type="dxa" w:w="23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朗诗寓、自如、龙湖冠寓、招商伊敦、东南青年汇、银城佳寓</w:t>
            </w:r>
          </w:p>
        </w:tc>
        <w:tc>
          <w:tcPr>
            <w:tcW w:type="dxa" w:w="2226"/>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战略合作协议、白名单准入</w:t>
            </w:r>
          </w:p>
        </w:tc>
      </w:tr>
      <w:tr>
        <w:tc>
          <w:tcPr>
            <w:tcW w:type="dxa" w:w="15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第二优先</w:t>
            </w:r>
          </w:p>
        </w:tc>
        <w:tc>
          <w:tcPr>
            <w:tcW w:type="dxa" w:w="30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连锁中介托管房源、本地深耕的中小品牌公寓</w:t>
            </w:r>
          </w:p>
        </w:tc>
        <w:tc>
          <w:tcPr>
            <w:tcW w:type="dxa" w:w="23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贝壳省心租、我爱我家相寓、本土连锁公寓品牌</w:t>
            </w:r>
          </w:p>
        </w:tc>
        <w:tc>
          <w:tcPr>
            <w:tcW w:type="dxa" w:w="2226"/>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选择性合作、单独尽调、资金监管</w:t>
            </w:r>
          </w:p>
        </w:tc>
      </w:tr>
      <w:tr>
        <w:tc>
          <w:tcPr>
            <w:tcW w:type="dxa" w:w="15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永久排除</w:t>
            </w:r>
          </w:p>
        </w:tc>
        <w:tc>
          <w:tcPr>
            <w:tcW w:type="dxa" w:w="30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个人散户业主、未注册二房东、未取得资质的运营方</w:t>
            </w:r>
          </w:p>
        </w:tc>
        <w:tc>
          <w:tcPr>
            <w:tcW w:type="dxa" w:w="2300"/>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w:t>
            </w:r>
          </w:p>
        </w:tc>
        <w:tc>
          <w:tcPr>
            <w:tcW w:type="dxa" w:w="2226"/>
            <w:tcBorders>
              <w:top w:val="single" w:color="8FAADC" w:sz="4"/>
              <w:left w:val="single" w:color="8FAADC" w:sz="4"/>
              <w:bottom w:val="single" w:color="8FAADC" w:sz="4"/>
              <w:right w:val="single" w:color="8FAADC" w:sz="4"/>
            </w:tcBorders>
            <w:shd w:fill="FCE4D6"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无论业务诱惑多大均不接入</w:t>
            </w:r>
          </w:p>
        </w:tc>
      </w:tr>
    </w:tbl>
    <w:p>
      <w:r>
        <w:rPr>
          <w:rFonts w:ascii="等线" w:cs="等线" w:eastAsia="等线" w:hAnsi="等线"/>
        </w:rPr>
        <w:t xml:space="preserve"/>
      </w:r>
    </w:p>
    <w:p>
      <w:pPr>
        <w:spacing w:after="120" w:before="120" w:line="360"/>
        <w:jc w:val="both"/>
      </w:pPr>
      <w:r>
        <w:rPr>
          <w:rFonts w:ascii="等线" w:cs="等线" w:eastAsia="等线" w:hAnsi="等线"/>
          <w:b/>
          <w:bCs/>
          <w:color w:val="000000"/>
          <w:sz w:val="22"/>
          <w:szCs w:val="22"/>
        </w:rPr>
        <w:t xml:space="preserve">第一优先合作方</w:t>
      </w:r>
      <w:r>
        <w:rPr>
          <w:rFonts w:ascii="等线" w:cs="等线" w:eastAsia="等线" w:hAnsi="等线"/>
          <w:sz w:val="22"/>
          <w:szCs w:val="22"/>
        </w:rPr>
        <w:t xml:space="preserve">是规模化推广的核心抓手。这类业主具有对公账户开立条件、运营规范、违约成本明确,且通常已经具备一定的对公金融业务往来。江苏银行可以通过分行公司业务条线对接,采用"战略合作框架协议+操作细则"的方式整体接入,签约一家即可放量到几千间房源。建议在试点期内首批接入5-8家头部业主完成验证。</w:t>
      </w:r>
    </w:p>
    <w:p>
      <w:pPr>
        <w:spacing w:after="120" w:before="120" w:line="360"/>
        <w:jc w:val="both"/>
      </w:pPr>
      <w:r>
        <w:rPr>
          <w:rFonts w:ascii="等线" w:cs="等线" w:eastAsia="等线" w:hAnsi="等线"/>
          <w:b/>
          <w:bCs/>
          <w:color w:val="000000"/>
          <w:sz w:val="22"/>
          <w:szCs w:val="22"/>
        </w:rPr>
        <w:t xml:space="preserve">第二优先合作方</w:t>
      </w:r>
      <w:r>
        <w:rPr>
          <w:rFonts w:ascii="等线" w:cs="等线" w:eastAsia="等线" w:hAnsi="等线"/>
          <w:sz w:val="22"/>
          <w:szCs w:val="22"/>
        </w:rPr>
        <w:t xml:space="preserve">需要逐家做尽职调查,并设资金监管账户。连锁中介托管房源的特点是分散度高、单户金额小,但中介机构本身具备一定信用背书。可以采用"中介机构提供推荐+银行独立准入审查"的双层机制。</w:t>
      </w:r>
    </w:p>
    <w:p>
      <w:pPr>
        <w:spacing w:after="120" w:before="120" w:line="360"/>
        <w:jc w:val="both"/>
      </w:pPr>
      <w:r>
        <w:rPr>
          <w:rFonts w:ascii="等线" w:cs="等线" w:eastAsia="等线" w:hAnsi="等线"/>
          <w:b/>
          <w:bCs/>
          <w:color w:val="000000"/>
          <w:sz w:val="22"/>
          <w:szCs w:val="22"/>
        </w:rPr>
        <w:t xml:space="preserve">永久排除层</w:t>
      </w:r>
      <w:r>
        <w:rPr>
          <w:rFonts w:ascii="等线" w:cs="等线" w:eastAsia="等线" w:hAnsi="等线"/>
          <w:sz w:val="22"/>
          <w:szCs w:val="22"/>
        </w:rPr>
        <w:t xml:space="preserve">是2020年蛋壳公寓"租金贷"暴雷事件留下的教训。个人业主缺乏违约约束,一旦发生纠纷,银行被夹在租客与业主之间难以处理。无论后期业务规模目标如何承压,这条底线不应突破。</w:t>
      </w:r>
    </w:p>
    <w:p>
      <w:pPr>
        <w:pStyle w:val="Heading2"/>
        <w:spacing w:after="160" w:before="280"/>
      </w:pPr>
      <w:r>
        <w:rPr>
          <w:rFonts w:ascii="等线" w:cs="等线" w:eastAsia="等线" w:hAnsi="等线"/>
          <w:b/>
          <w:bCs/>
          <w:color w:val="2E74B5"/>
          <w:sz w:val="26"/>
          <w:szCs w:val="26"/>
        </w:rPr>
        <w:t xml:space="preserve">3.3  客户准入硬指标</w:t>
      </w:r>
    </w:p>
    <w:p>
      <w:pPr>
        <w:pStyle w:val="Heading3"/>
        <w:spacing w:after="120" w:before="200"/>
      </w:pPr>
      <w:r>
        <w:rPr>
          <w:rFonts w:ascii="等线" w:cs="等线" w:eastAsia="等线" w:hAnsi="等线"/>
          <w:b/>
          <w:bCs/>
          <w:color w:val="2E74B5"/>
          <w:sz w:val="23"/>
          <w:szCs w:val="23"/>
        </w:rPr>
        <w:t xml:space="preserve">3.3.1  C端租客准入指标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准入维度</w:t>
            </w:r>
          </w:p>
        </w:tc>
        <w:tc>
          <w:tcPr>
            <w:tcW w:type="dxa" w:w="66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硬指标要求</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年龄</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22-55周岁</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收入要求</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月薪≥本地租金的3倍且年收入≥10万元</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信用要求</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人行征信无当前逾期,近24个月内累计逾期不超过2次,单次不超过30天</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在职稳定性</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现单位在职≥12个月,具备稳定收入证明</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负债收入比</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(含本次贷款)不超过60%</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职业类型</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符合C端核心层或机会层定义的客群</w:t>
            </w:r>
          </w:p>
        </w:tc>
      </w:tr>
    </w:tbl>
    <w:p>
      <w:r>
        <w:rPr>
          <w:rFonts w:ascii="等线" w:cs="等线" w:eastAsia="等线" w:hAnsi="等线"/>
        </w:rPr>
        <w:t xml:space="preserve"/>
      </w:r>
    </w:p>
    <w:p>
      <w:pPr>
        <w:pStyle w:val="Heading3"/>
        <w:spacing w:after="120" w:before="200"/>
      </w:pPr>
      <w:r>
        <w:rPr>
          <w:rFonts w:ascii="等线" w:cs="等线" w:eastAsia="等线" w:hAnsi="等线"/>
          <w:b/>
          <w:bCs/>
          <w:color w:val="2E74B5"/>
          <w:sz w:val="23"/>
          <w:szCs w:val="23"/>
        </w:rPr>
        <w:t xml:space="preserve">3.3.2  B端业主准入指标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准入维度</w:t>
            </w:r>
          </w:p>
        </w:tc>
        <w:tc>
          <w:tcPr>
            <w:tcW w:type="dxa" w:w="66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硬指标要求</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注册资本</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≥1000万元(国央企平台、政府租赁公司除外)</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经营年限</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品牌长租公寓≥3年,中介托管业务≥5年</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资质要求</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取得住房租赁经营备案,经营范围合规</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房源规模</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在江苏省内运营房源≥1,000间</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历史违约</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近3年无重大违约、行政处罚、负面舆情记录</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财务健康度</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资产负债率≤70%,现金流连续两年为正</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对公账户</w:t>
            </w:r>
          </w:p>
        </w:tc>
        <w:tc>
          <w:tcPr>
            <w:tcW w:type="dxa" w:w="66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在江苏银行开立基本账户或一般户</w:t>
            </w:r>
          </w:p>
        </w:tc>
      </w:tr>
    </w:tbl>
    <w:p>
      <w:r>
        <w:br w:type="page"/>
      </w:r>
    </w:p>
    <w:p>
      <w:pPr>
        <w:pStyle w:val="Heading1"/>
        <w:spacing w:after="200" w:before="360"/>
      </w:pPr>
      <w:r>
        <w:rPr>
          <w:rFonts w:ascii="等线" w:cs="等线" w:eastAsia="等线" w:hAnsi="等线"/>
          <w:b/>
          <w:bCs/>
          <w:color w:val="1F3864"/>
          <w:sz w:val="32"/>
          <w:szCs w:val="32"/>
        </w:rPr>
        <w:t xml:space="preserve">第四章  战略路径与核心决策</w:t>
      </w:r>
    </w:p>
    <w:p>
      <w:pPr>
        <w:pStyle w:val="Heading2"/>
        <w:spacing w:after="160" w:before="280"/>
      </w:pPr>
      <w:r>
        <w:rPr>
          <w:rFonts w:ascii="等线" w:cs="等线" w:eastAsia="等线" w:hAnsi="等线"/>
          <w:b/>
          <w:bCs/>
          <w:color w:val="2E74B5"/>
          <w:sz w:val="26"/>
          <w:szCs w:val="26"/>
        </w:rPr>
        <w:t xml:space="preserve">4.1  路径选择:C端为主、B端二阶段延伸</w:t>
      </w:r>
    </w:p>
    <w:p>
      <w:pPr>
        <w:spacing w:after="120" w:before="120" w:line="360"/>
        <w:jc w:val="both"/>
      </w:pPr>
      <w:r>
        <w:rPr>
          <w:rFonts w:ascii="等线" w:cs="等线" w:eastAsia="等线" w:hAnsi="等线"/>
          <w:b w:val="false"/>
          <w:bCs w:val="false"/>
          <w:color w:val="000000"/>
          <w:sz w:val="22"/>
          <w:szCs w:val="22"/>
        </w:rPr>
        <w:t xml:space="preserve">经过对C端消费贷模式和B端转贷模式的对比分析,建议采取分阶段双轨策略,而非二选一。两种模式在不同业务阶段、不同客户类型上各有优势,组合使用可以实现风险隔离与规模扩张的平衡。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对比维度</w:t>
            </w:r>
          </w:p>
        </w:tc>
        <w:tc>
          <w:tcPr>
            <w:tcW w:type="dxa" w:w="3413"/>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C端消费贷模式</w:t>
            </w:r>
          </w:p>
        </w:tc>
        <w:tc>
          <w:tcPr>
            <w:tcW w:type="dxa" w:w="3413"/>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B端转贷模式</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借款主体</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租客(个人)</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业主/运营方(企业)</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银行直接承担风险</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租客违约风险</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业主经营风险</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单笔规模</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几万元</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几百万至几千万元</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产品类型</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消费贷</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经营贷+租金分期组合</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合规边界</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需关注综合年化利率口径</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经营贷合规相对清晰</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放款效率</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线上化、自动审批快</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线下尽调、流程相对长</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适用阶段</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试点冷启动、规模扩张前期</w:t>
            </w:r>
          </w:p>
        </w:tc>
        <w:tc>
          <w:tcPr>
            <w:tcW w:type="dxa" w:w="3413"/>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成熟期、大规模业务</w:t>
            </w:r>
          </w:p>
        </w:tc>
      </w:tr>
    </w:tbl>
    <w:p>
      <w:r>
        <w:rPr>
          <w:rFonts w:ascii="等线" w:cs="等线" w:eastAsia="等线" w:hAnsi="等线"/>
        </w:rPr>
        <w:t xml:space="preserve"/>
      </w:r>
    </w:p>
    <w:p>
      <w:pPr>
        <w:spacing w:after="120" w:before="120" w:line="360"/>
        <w:jc w:val="both"/>
      </w:pPr>
      <w:r>
        <w:rPr>
          <w:rFonts w:ascii="等线" w:cs="等线" w:eastAsia="等线" w:hAnsi="等线"/>
          <w:b/>
          <w:bCs/>
          <w:color w:val="000000"/>
          <w:sz w:val="22"/>
          <w:szCs w:val="22"/>
        </w:rPr>
        <w:t xml:space="preserve">第一阶段(0-12个月):C端消费贷模式为主。</w:t>
      </w:r>
      <w:r>
        <w:rPr>
          <w:rFonts w:ascii="等线" w:cs="等线" w:eastAsia="等线" w:hAnsi="等线"/>
          <w:sz w:val="22"/>
          <w:szCs w:val="22"/>
        </w:rPr>
        <w:t xml:space="preserve">以江苏银行房租贷v2方案为基础产品,租客作为借款主体,银行直接发放消费贷。该模式流程清晰、单笔金额小、风险分散、可快速积累数据。这一阶段重点是验证产品机制、跑通运营流程、积累风控数据,目标完成1-3亿元的试点规模、累积500-2000个客户样本。</w:t>
      </w:r>
    </w:p>
    <w:p>
      <w:pPr>
        <w:spacing w:after="120" w:before="120" w:line="360"/>
        <w:jc w:val="both"/>
      </w:pPr>
      <w:r>
        <w:rPr>
          <w:rFonts w:ascii="等线" w:cs="等线" w:eastAsia="等线" w:hAnsi="等线"/>
          <w:b/>
          <w:bCs/>
          <w:color w:val="000000"/>
          <w:sz w:val="22"/>
          <w:szCs w:val="22"/>
        </w:rPr>
        <w:t xml:space="preserve">第二阶段(12-24个月):B端转贷模式延伸。</w:t>
      </w:r>
      <w:r>
        <w:rPr>
          <w:rFonts w:ascii="等线" w:cs="等线" w:eastAsia="等线" w:hAnsi="等线"/>
          <w:sz w:val="22"/>
          <w:szCs w:val="22"/>
        </w:rPr>
        <w:t xml:space="preserve">对已合作的优质机构化业主切换为"经营贷+租金分期"组合产品——商户向租客做租金分期,商户向江苏银行申请经营贷,租客信用风险隔离在商户层,银行承担商户经营风险。这种模式合规边界更清晰、可覆盖更大房源规模,但要求合作业主必须具备较强的经营能力和资金管理能力。这一阶段目标实现10-30亿元规模,沉淀经营贷资产,并推动业主端从"放款客户"升级为"综合金融服务客户"。</w:t>
      </w:r>
    </w:p>
    <w:p>
      <w:pPr>
        <w:spacing w:after="120" w:before="120" w:line="360"/>
        <w:jc w:val="both"/>
      </w:pPr>
      <w:r>
        <w:rPr>
          <w:rFonts w:ascii="等线" w:cs="等线" w:eastAsia="等线" w:hAnsi="等线"/>
          <w:b w:val="false"/>
          <w:bCs w:val="false"/>
          <w:color w:val="000000"/>
          <w:sz w:val="22"/>
          <w:szCs w:val="22"/>
        </w:rPr>
        <w:t xml:space="preserve">两条路径并存,按客户类型和业务阶段动态切换,不是简单的二选一。这一架构在江苏银行体系内可以与零售条线、对公条线、金融租赁子公司形成协同。</w:t>
      </w:r>
    </w:p>
    <w:p>
      <w:pPr>
        <w:pStyle w:val="Heading2"/>
        <w:spacing w:after="160" w:before="280"/>
      </w:pPr>
      <w:r>
        <w:rPr>
          <w:rFonts w:ascii="等线" w:cs="等线" w:eastAsia="等线" w:hAnsi="等线"/>
          <w:b/>
          <w:bCs/>
          <w:color w:val="2E74B5"/>
          <w:sz w:val="26"/>
          <w:szCs w:val="26"/>
        </w:rPr>
        <w:t xml:space="preserve">4.2  五个核心决策点</w:t>
      </w:r>
    </w:p>
    <w:p>
      <w:pPr>
        <w:spacing w:after="120" w:before="120" w:line="360"/>
        <w:jc w:val="both"/>
      </w:pPr>
      <w:r>
        <w:rPr>
          <w:rFonts w:ascii="等线" w:cs="等线" w:eastAsia="等线" w:hAnsi="等线"/>
          <w:b w:val="false"/>
          <w:bCs w:val="false"/>
          <w:color w:val="000000"/>
          <w:sz w:val="22"/>
          <w:szCs w:val="22"/>
        </w:rPr>
        <w:t xml:space="preserve">以下五个决策点需要在产品立项前明确判断: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编号</w:t>
            </w:r>
          </w:p>
        </w:tc>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决策点</w:t>
            </w:r>
          </w:p>
        </w:tc>
        <w:tc>
          <w:tcPr>
            <w:tcW w:type="dxa" w:w="58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本报告建议判断</w:t>
            </w:r>
          </w:p>
        </w:tc>
      </w:tr>
      <w:tr>
        <w:tc>
          <w:tcPr>
            <w:tcW w:type="dxa" w:w="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①</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C端 vs B端路径选择</w:t>
            </w:r>
          </w:p>
        </w:tc>
        <w:tc>
          <w:tcPr>
            <w:tcW w:type="dxa" w:w="5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C端先行、B端延伸的分阶段双轨,两者并存不互斥</w:t>
            </w:r>
          </w:p>
        </w:tc>
      </w:tr>
      <w:tr>
        <w:tc>
          <w:tcPr>
            <w:tcW w:type="dxa" w:w="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②</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业主侧准入档位</w:t>
            </w:r>
          </w:p>
        </w:tc>
        <w:tc>
          <w:tcPr>
            <w:tcW w:type="dxa" w:w="5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平衡档:接入持牌长租公寓+国央企平台+连锁中介托管房源,永久排除个人业主</w:t>
            </w:r>
          </w:p>
        </w:tc>
      </w:tr>
      <w:tr>
        <w:tc>
          <w:tcPr>
            <w:tcW w:type="dxa" w:w="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③</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业主让利与贴息调整</w:t>
            </w:r>
          </w:p>
        </w:tc>
        <w:tc>
          <w:tcPr>
            <w:tcW w:type="dxa" w:w="5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建议业主让利从97折调整到98折,业主净收入由+97元提升至+1,153元,合作意愿显著增强;前端预扣机制长期保留</w:t>
            </w:r>
          </w:p>
        </w:tc>
      </w:tr>
      <w:tr>
        <w:tc>
          <w:tcPr>
            <w:tcW w:type="dxa" w:w="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④</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周付/双周付产品</w:t>
            </w:r>
          </w:p>
        </w:tc>
        <w:tc>
          <w:tcPr>
            <w:tcW w:type="dxa" w:w="5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明确禁止。综合年化测算超过LPR四倍红线(约13.8%)即违规,不允许任何变相操作</w:t>
            </w:r>
          </w:p>
        </w:tc>
      </w:tr>
      <w:tr>
        <w:tc>
          <w:tcPr>
            <w:tcW w:type="dxa" w:w="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⑤</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行内业务协同</w:t>
            </w:r>
          </w:p>
        </w:tc>
        <w:tc>
          <w:tcPr>
            <w:tcW w:type="dxa" w:w="58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重点突破。对公存款沉淀和零售拉新是产品的隐性战略价值,综合贡献预计是利息收入的2-3倍</w:t>
            </w:r>
          </w:p>
        </w:tc>
      </w:tr>
    </w:tbl>
    <w:p>
      <w:r>
        <w:rPr>
          <w:rFonts w:ascii="等线" w:cs="等线" w:eastAsia="等线" w:hAnsi="等线"/>
        </w:rPr>
        <w:t xml:space="preserve"/>
      </w:r>
    </w:p>
    <w:p>
      <w:pPr>
        <w:pStyle w:val="Heading3"/>
        <w:spacing w:after="120" w:before="200"/>
      </w:pPr>
      <w:r>
        <w:rPr>
          <w:rFonts w:ascii="等线" w:cs="等线" w:eastAsia="等线" w:hAnsi="等线"/>
          <w:b/>
          <w:bCs/>
          <w:color w:val="2E74B5"/>
          <w:sz w:val="23"/>
          <w:szCs w:val="23"/>
        </w:rPr>
        <w:t xml:space="preserve">决策点③:业主让利调整的具体建议</w:t>
      </w:r>
    </w:p>
    <w:p>
      <w:pPr>
        <w:spacing w:after="120" w:before="120" w:line="360"/>
        <w:jc w:val="both"/>
      </w:pPr>
      <w:r>
        <w:rPr>
          <w:rFonts w:ascii="等线" w:cs="等线" w:eastAsia="等线" w:hAnsi="等线"/>
          <w:b w:val="false"/>
          <w:bCs w:val="false"/>
          <w:color w:val="000000"/>
          <w:sz w:val="22"/>
          <w:szCs w:val="22"/>
        </w:rPr>
        <w:t xml:space="preserve">当前97折方案下业主净收入比直接95折年付仅多97元,利差太小,业主感知不强。建议优化为98折方案: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业主让利折扣</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贷款本金</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贴息成本</w:t>
            </w:r>
          </w:p>
        </w:tc>
        <w:tc>
          <w:tcPr>
            <w:tcW w:type="dxa" w:w="24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业主净收入</w:t>
            </w:r>
          </w:p>
        </w:tc>
      </w:tr>
      <w:tr>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97折(当前)</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58,200元</w:t>
            </w:r>
          </w:p>
        </w:tc>
        <w:tc>
          <w:tcPr>
            <w:tcW w:type="dxa" w:w="22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1,103元</w:t>
            </w:r>
          </w:p>
        </w:tc>
        <w:tc>
          <w:tcPr>
            <w:tcW w:type="dxa" w:w="24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57,097元(+97元)</w:t>
            </w:r>
          </w:p>
        </w:tc>
      </w:tr>
      <w:tr>
        <w:tc>
          <w:tcPr>
            <w:tcW w:type="dxa" w:w="22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center"/>
            </w:pPr>
            <w:r>
              <w:rPr>
                <w:rFonts w:ascii="等线" w:cs="等线" w:eastAsia="等线" w:hAnsi="等线"/>
                <w:b w:val="false"/>
                <w:bCs w:val="false"/>
                <w:color w:val="000000"/>
                <w:sz w:val="20"/>
                <w:szCs w:val="20"/>
              </w:rPr>
              <w:t xml:space="preserve">98折(建议)</w:t>
            </w:r>
          </w:p>
        </w:tc>
        <w:tc>
          <w:tcPr>
            <w:tcW w:type="dxa" w:w="22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58,800元</w:t>
            </w:r>
          </w:p>
        </w:tc>
        <w:tc>
          <w:tcPr>
            <w:tcW w:type="dxa" w:w="22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1,114元</w:t>
            </w:r>
          </w:p>
        </w:tc>
        <w:tc>
          <w:tcPr>
            <w:tcW w:type="dxa" w:w="2426"/>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right"/>
            </w:pPr>
            <w:r>
              <w:rPr>
                <w:rFonts w:ascii="等线" w:cs="等线" w:eastAsia="等线" w:hAnsi="等线"/>
                <w:b w:val="false"/>
                <w:bCs w:val="false"/>
                <w:color w:val="000000"/>
                <w:sz w:val="20"/>
                <w:szCs w:val="20"/>
              </w:rPr>
              <w:t xml:space="preserve">57,686元(+686元)</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调整后业主净收入从+97元提升至+686元,业主合作意愿显著增强。同时租客让利从3%缩减至2%,需要同步测算租客敏感度。建议在试点阶段同时开放97折和98折两种方案,通过A/B测试确定最优档位。</w:t>
      </w:r>
    </w:p>
    <w:p>
      <w:pPr>
        <w:pStyle w:val="Heading2"/>
        <w:spacing w:after="160" w:before="280"/>
      </w:pPr>
      <w:r>
        <w:rPr>
          <w:rFonts w:ascii="等线" w:cs="等线" w:eastAsia="等线" w:hAnsi="等线"/>
          <w:b/>
          <w:bCs/>
          <w:color w:val="2E74B5"/>
          <w:sz w:val="26"/>
          <w:szCs w:val="26"/>
        </w:rPr>
        <w:t xml:space="preserve">4.3  行内业务协同——产品的隐性战略价值</w:t>
      </w:r>
    </w:p>
    <w:p>
      <w:pPr>
        <w:spacing w:after="120" w:before="120" w:line="360"/>
        <w:jc w:val="both"/>
      </w:pPr>
      <w:r>
        <w:rPr>
          <w:rFonts w:ascii="等线" w:cs="等线" w:eastAsia="等线" w:hAnsi="等线"/>
          <w:b w:val="false"/>
          <w:bCs w:val="false"/>
          <w:color w:val="000000"/>
          <w:sz w:val="22"/>
          <w:szCs w:val="22"/>
        </w:rPr>
        <w:t xml:space="preserve">房租贷不应被视为孤立的零售消费贷产品,而应纳入江苏银行整体业务生态考量。这一点是当前产品方案最被低估的部分。</w:t>
      </w:r>
    </w:p>
    <w:p>
      <w:pPr>
        <w:pStyle w:val="Heading3"/>
        <w:spacing w:after="120" w:before="200"/>
      </w:pPr>
      <w:r>
        <w:rPr>
          <w:rFonts w:ascii="等线" w:cs="等线" w:eastAsia="等线" w:hAnsi="等线"/>
          <w:b/>
          <w:bCs/>
          <w:color w:val="2E74B5"/>
          <w:sz w:val="23"/>
          <w:szCs w:val="23"/>
        </w:rPr>
        <w:t xml:space="preserve">对公条线协同</w:t>
      </w:r>
    </w:p>
    <w:p>
      <w:pPr>
        <w:spacing w:after="120" w:before="120" w:line="360"/>
        <w:jc w:val="both"/>
      </w:pPr>
      <w:r>
        <w:rPr>
          <w:rFonts w:ascii="等线" w:cs="等线" w:eastAsia="等线" w:hAnsi="等线"/>
          <w:b w:val="false"/>
          <w:bCs w:val="false"/>
          <w:color w:val="000000"/>
          <w:sz w:val="22"/>
          <w:szCs w:val="22"/>
        </w:rPr>
        <w:t xml:space="preserve">业主必须在江苏银行开立对公账户,这是一个被严重低估的对公拉新工具。每接入一家品牌长租公寓平均可带来三方面价值:</w:t>
      </w:r>
    </w:p>
    <w:p>
      <w:pPr>
        <w:pStyle w:val="ListParagraph"/>
        <w:numPr>
          <w:ilvl w:val="0"/>
          <w:numId w:val="2"/>
        </w:numPr>
        <w:spacing w:after="80" w:before="80" w:line="340"/>
      </w:pPr>
      <w:r>
        <w:rPr>
          <w:rFonts w:ascii="等线" w:cs="等线" w:eastAsia="等线" w:hAnsi="等线"/>
          <w:b/>
          <w:bCs/>
          <w:sz w:val="22"/>
          <w:szCs w:val="22"/>
        </w:rPr>
        <w:t xml:space="preserve">对公存款沉淀</w:t>
      </w:r>
      <w:r>
        <w:rPr>
          <w:rFonts w:ascii="等线" w:cs="等线" w:eastAsia="等线" w:hAnsi="等线"/>
          <w:sz w:val="22"/>
          <w:szCs w:val="22"/>
        </w:rPr>
        <w:t xml:space="preserve">:按全年租金资金沉淀30%估算,单家年放款1亿元的合作方可沉淀对公存款约3,000万元</w:t>
      </w:r>
    </w:p>
    <w:p>
      <w:pPr>
        <w:pStyle w:val="ListParagraph"/>
        <w:numPr>
          <w:ilvl w:val="0"/>
          <w:numId w:val="2"/>
        </w:numPr>
        <w:spacing w:after="80" w:before="80" w:line="340"/>
      </w:pPr>
      <w:r>
        <w:rPr>
          <w:rFonts w:ascii="等线" w:cs="等线" w:eastAsia="等线" w:hAnsi="等线"/>
          <w:b/>
          <w:bCs/>
          <w:sz w:val="22"/>
          <w:szCs w:val="22"/>
        </w:rPr>
        <w:t xml:space="preserve">供应链金融机会</w:t>
      </w:r>
      <w:r>
        <w:rPr>
          <w:rFonts w:ascii="等线" w:cs="等线" w:eastAsia="等线" w:hAnsi="等线"/>
          <w:sz w:val="22"/>
          <w:szCs w:val="22"/>
        </w:rPr>
        <w:t xml:space="preserve">:物业改造、家具家电采购、租客增值服务等环节均存在融资需求</w:t>
      </w:r>
    </w:p>
    <w:p>
      <w:pPr>
        <w:pStyle w:val="ListParagraph"/>
        <w:numPr>
          <w:ilvl w:val="0"/>
          <w:numId w:val="2"/>
        </w:numPr>
        <w:spacing w:after="80" w:before="80" w:line="340"/>
      </w:pPr>
      <w:r>
        <w:rPr>
          <w:rFonts w:ascii="等线" w:cs="等线" w:eastAsia="等线" w:hAnsi="等线"/>
          <w:b/>
          <w:bCs/>
          <w:sz w:val="22"/>
          <w:szCs w:val="22"/>
        </w:rPr>
        <w:t xml:space="preserve">代发工资、对公理财等综合金融服务</w:t>
      </w:r>
      <w:r>
        <w:rPr>
          <w:rFonts w:ascii="等线" w:cs="等线" w:eastAsia="等线" w:hAnsi="等线"/>
          <w:sz w:val="22"/>
          <w:szCs w:val="22"/>
        </w:rPr>
        <w:t xml:space="preserve">:业主员工的代发工资业务、企业闲置资金的对公理财业务均可衍生</w:t>
      </w:r>
    </w:p>
    <w:p>
      <w:pPr>
        <w:pStyle w:val="Heading3"/>
        <w:spacing w:after="120" w:before="200"/>
      </w:pPr>
      <w:r>
        <w:rPr>
          <w:rFonts w:ascii="等线" w:cs="等线" w:eastAsia="等线" w:hAnsi="等线"/>
          <w:b/>
          <w:bCs/>
          <w:color w:val="2E74B5"/>
          <w:sz w:val="23"/>
          <w:szCs w:val="23"/>
        </w:rPr>
        <w:t xml:space="preserve">苏银凯基消费金融协同</w:t>
      </w:r>
    </w:p>
    <w:p>
      <w:pPr>
        <w:spacing w:after="120" w:before="120" w:line="360"/>
        <w:jc w:val="both"/>
      </w:pPr>
      <w:r>
        <w:rPr>
          <w:rFonts w:ascii="等线" w:cs="等线" w:eastAsia="等线" w:hAnsi="等线"/>
          <w:b w:val="false"/>
          <w:bCs w:val="false"/>
          <w:color w:val="000000"/>
          <w:sz w:val="22"/>
          <w:szCs w:val="22"/>
        </w:rPr>
        <w:t xml:space="preserve">房租贷可以放在消金公司而不是银行表内,优势在于额度更灵活、监管更适配消费贷场景。但定价3.5%在消金公司里偏低,需要协调内部转移定价。建议:核心层客群放在银行表内享受较低利率,机会层客群放在消金公司适当上浮定价,实现差异化定价。</w:t>
      </w:r>
    </w:p>
    <w:p>
      <w:pPr>
        <w:pStyle w:val="Heading3"/>
        <w:spacing w:after="120" w:before="200"/>
      </w:pPr>
      <w:r>
        <w:rPr>
          <w:rFonts w:ascii="等线" w:cs="等线" w:eastAsia="等线" w:hAnsi="等线"/>
          <w:b/>
          <w:bCs/>
          <w:color w:val="2E74B5"/>
          <w:sz w:val="23"/>
          <w:szCs w:val="23"/>
        </w:rPr>
        <w:t xml:space="preserve">苏银金融租赁协同</w:t>
      </w:r>
    </w:p>
    <w:p>
      <w:pPr>
        <w:spacing w:after="120" w:before="120" w:line="360"/>
        <w:jc w:val="both"/>
      </w:pPr>
      <w:r>
        <w:rPr>
          <w:rFonts w:ascii="等线" w:cs="等线" w:eastAsia="等线" w:hAnsi="等线"/>
          <w:b w:val="false"/>
          <w:bCs w:val="false"/>
          <w:color w:val="000000"/>
          <w:sz w:val="22"/>
          <w:szCs w:val="22"/>
        </w:rPr>
        <w:t xml:space="preserve">对长租公寓的重资产融资可以走金租通道,实现"租客侧消费贷+业主侧经营贷+物业侧融资租赁"的全链条覆盖。这一组合在江苏银行体系内具备独特优势,是其他股份制银行难以复制的护城河。</w:t>
      </w:r>
    </w:p>
    <w:p>
      <w:r>
        <w:rPr>
          <w:rFonts w:ascii="等线" w:cs="等线" w:eastAsia="等线" w:hAnsi="等线"/>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12"/>
              <w:bottom w:val="single" w:color="2E74B5" w:sz="4"/>
              <w:right w:val="single" w:color="2E74B5" w:sz="4"/>
            </w:tcBorders>
            <w:shd w:fill="DEEBF7" w:val="clear"/>
            <w:tcMar>
              <w:top w:type="dxa" w:w="160"/>
              <w:left w:type="dxa" w:w="200"/>
              <w:bottom w:type="dxa" w:w="160"/>
              <w:right w:type="dxa" w:w="200"/>
            </w:tcMar>
          </w:tcPr>
          <w:p>
            <w:pPr>
              <w:spacing w:line="340"/>
            </w:pPr>
            <w:r>
              <w:rPr>
                <w:rFonts w:ascii="等线" w:cs="等线" w:eastAsia="等线" w:hAnsi="等线"/>
                <w:sz w:val="22"/>
                <w:szCs w:val="22"/>
              </w:rPr>
              <w:t xml:space="preserve">关键结论:房租贷的真正商业价值预计是利息收入的2-3倍。需要在立项决策中以"零售利息+对公存款衍生收益+消金及金租综合收益"三条线综合贡献的口径进行衡量,而非单纯按消费贷利息收入评估。否则会严重低估业务的战略地位,导致投入资源不足、KPI考核偏差。</w:t>
            </w:r>
          </w:p>
        </w:tc>
      </w:tr>
    </w:tbl>
    <w:p>
      <w:r>
        <w:br w:type="page"/>
      </w:r>
    </w:p>
    <w:p>
      <w:pPr>
        <w:pStyle w:val="Heading1"/>
        <w:spacing w:after="200" w:before="360"/>
      </w:pPr>
      <w:r>
        <w:rPr>
          <w:rFonts w:ascii="等线" w:cs="等线" w:eastAsia="等线" w:hAnsi="等线"/>
          <w:b/>
          <w:bCs/>
          <w:color w:val="1F3864"/>
          <w:sz w:val="32"/>
          <w:szCs w:val="32"/>
        </w:rPr>
        <w:t xml:space="preserve">第五章  风险与合规</w:t>
      </w:r>
    </w:p>
    <w:p>
      <w:pPr>
        <w:pStyle w:val="Heading2"/>
        <w:spacing w:after="160" w:before="280"/>
      </w:pPr>
      <w:r>
        <w:rPr>
          <w:rFonts w:ascii="等线" w:cs="等线" w:eastAsia="等线" w:hAnsi="等线"/>
          <w:b/>
          <w:bCs/>
          <w:color w:val="2E74B5"/>
          <w:sz w:val="26"/>
          <w:szCs w:val="26"/>
        </w:rPr>
        <w:t xml:space="preserve">5.1  业主道德风险——最大的雷区</w:t>
      </w:r>
    </w:p>
    <w:p>
      <w:pPr>
        <w:spacing w:after="120" w:before="120" w:line="360"/>
        <w:jc w:val="both"/>
      </w:pPr>
      <w:r>
        <w:rPr>
          <w:rFonts w:ascii="等线" w:cs="等线" w:eastAsia="等线" w:hAnsi="等线"/>
          <w:b w:val="false"/>
          <w:bCs w:val="false"/>
          <w:color w:val="000000"/>
          <w:sz w:val="22"/>
          <w:szCs w:val="22"/>
        </w:rPr>
        <w:t xml:space="preserve">这是本类产品历史上最严重的风险点。2020-2021年蛋壳公寓"租金贷"暴雷事件的核心机制即为:长租公寓运营方收取了租客通过银行贷款支付的全年租金后陷入经营困境或跑路,租客面临"房子没了、贷款还在"的困境,引发大规模社会事件和监管关注。</w:t>
      </w:r>
    </w:p>
    <w:p>
      <w:pPr>
        <w:spacing w:after="120" w:before="120" w:line="360"/>
        <w:jc w:val="both"/>
      </w:pPr>
      <w:r>
        <w:rPr>
          <w:rFonts w:ascii="等线" w:cs="等线" w:eastAsia="等线" w:hAnsi="等线"/>
          <w:b w:val="false"/>
          <w:bCs w:val="false"/>
          <w:color w:val="000000"/>
          <w:sz w:val="22"/>
          <w:szCs w:val="22"/>
        </w:rPr>
        <w:t xml:space="preserve">江苏银行房租贷v2方案在提前退租处置部分明确写明"贷款关系不因租赁合同解除而自动终止",这意味着如果业主跑路,租客仍需继续向银行偿还贷款本金。这一设计在法律上成立,但在道德风险防范上存在严重漏洞。</w:t>
      </w:r>
    </w:p>
    <w:p>
      <w:pPr>
        <w:spacing w:after="120" w:before="120" w:line="360"/>
        <w:jc w:val="both"/>
      </w:pPr>
      <w:r>
        <w:rPr>
          <w:rFonts w:ascii="等线" w:cs="等线" w:eastAsia="等线" w:hAnsi="等线"/>
          <w:b w:val="false"/>
          <w:bCs w:val="false"/>
          <w:color w:val="000000"/>
          <w:sz w:val="22"/>
          <w:szCs w:val="22"/>
        </w:rPr>
        <w:t xml:space="preserve">整改建议:</w:t>
      </w:r>
    </w:p>
    <w:p>
      <w:pPr>
        <w:pStyle w:val="ListParagraph"/>
        <w:numPr>
          <w:ilvl w:val="0"/>
          <w:numId w:val="2"/>
        </w:numPr>
        <w:spacing w:after="80" w:before="80" w:line="340"/>
      </w:pPr>
      <w:r>
        <w:rPr>
          <w:rFonts w:ascii="等线" w:cs="等线" w:eastAsia="等线" w:hAnsi="等线"/>
          <w:b/>
          <w:bCs/>
          <w:sz w:val="22"/>
          <w:szCs w:val="22"/>
        </w:rPr>
        <w:t xml:space="preserve">设立业主履约保证金机制</w:t>
      </w:r>
      <w:r>
        <w:rPr>
          <w:rFonts w:ascii="等线" w:cs="等线" w:eastAsia="等线" w:hAnsi="等线"/>
          <w:sz w:val="22"/>
          <w:szCs w:val="22"/>
        </w:rPr>
        <w:t xml:space="preserve">,要求合作业主在江苏银行账户冻结一定比例资金作为退租准备金(建议为预计年放款规模的5-10%)</w:t>
      </w:r>
    </w:p>
    <w:p>
      <w:pPr>
        <w:pStyle w:val="ListParagraph"/>
        <w:numPr>
          <w:ilvl w:val="0"/>
          <w:numId w:val="2"/>
        </w:numPr>
        <w:spacing w:after="80" w:before="80" w:line="340"/>
      </w:pPr>
      <w:r>
        <w:rPr>
          <w:rFonts w:ascii="等线" w:cs="等线" w:eastAsia="等线" w:hAnsi="等线"/>
          <w:b/>
          <w:bCs/>
          <w:sz w:val="22"/>
          <w:szCs w:val="22"/>
        </w:rPr>
        <w:t xml:space="preserve">引入资金监管账户</w:t>
      </w:r>
      <w:r>
        <w:rPr>
          <w:rFonts w:ascii="等线" w:cs="等线" w:eastAsia="等线" w:hAnsi="等线"/>
          <w:sz w:val="22"/>
          <w:szCs w:val="22"/>
        </w:rPr>
        <w:t xml:space="preserve">,租客贷款资金不一次性划付给业主,按月或按季解冻给业主,与租客实际居住期挂钩</w:t>
      </w:r>
    </w:p>
    <w:p>
      <w:pPr>
        <w:pStyle w:val="ListParagraph"/>
        <w:numPr>
          <w:ilvl w:val="0"/>
          <w:numId w:val="2"/>
        </w:numPr>
        <w:spacing w:after="80" w:before="80" w:line="340"/>
      </w:pPr>
      <w:r>
        <w:rPr>
          <w:rFonts w:ascii="等线" w:cs="等线" w:eastAsia="等线" w:hAnsi="等线"/>
          <w:b/>
          <w:bCs/>
          <w:sz w:val="22"/>
          <w:szCs w:val="22"/>
        </w:rPr>
        <w:t xml:space="preserve">建立业主信用评级体系</w:t>
      </w:r>
      <w:r>
        <w:rPr>
          <w:rFonts w:ascii="等线" w:cs="等线" w:eastAsia="等线" w:hAnsi="等线"/>
          <w:sz w:val="22"/>
          <w:szCs w:val="22"/>
        </w:rPr>
        <w:t xml:space="preserve">,定期监测合作方经营状况、现金流状况、负面舆情,建立动态调整机制</w:t>
      </w:r>
    </w:p>
    <w:p>
      <w:pPr>
        <w:pStyle w:val="ListParagraph"/>
        <w:numPr>
          <w:ilvl w:val="0"/>
          <w:numId w:val="2"/>
        </w:numPr>
        <w:spacing w:after="80" w:before="80" w:line="340"/>
      </w:pPr>
      <w:r>
        <w:rPr>
          <w:rFonts w:ascii="等线" w:cs="等线" w:eastAsia="等线" w:hAnsi="等线"/>
          <w:b/>
          <w:bCs/>
          <w:sz w:val="22"/>
          <w:szCs w:val="22"/>
        </w:rPr>
        <w:t xml:space="preserve">设立行业风险熔断机制</w:t>
      </w:r>
      <w:r>
        <w:rPr>
          <w:rFonts w:ascii="等线" w:cs="等线" w:eastAsia="等线" w:hAnsi="等线"/>
          <w:sz w:val="22"/>
          <w:szCs w:val="22"/>
        </w:rPr>
        <w:t xml:space="preserve">,一旦某合作方出现负面舆情或经营异常,立即暂停新增放款</w:t>
      </w:r>
    </w:p>
    <w:p>
      <w:pPr>
        <w:pStyle w:val="Heading2"/>
        <w:spacing w:after="160" w:before="280"/>
      </w:pPr>
      <w:r>
        <w:rPr>
          <w:rFonts w:ascii="等线" w:cs="等线" w:eastAsia="等线" w:hAnsi="等线"/>
          <w:b/>
          <w:bCs/>
          <w:color w:val="2E74B5"/>
          <w:sz w:val="26"/>
          <w:szCs w:val="26"/>
        </w:rPr>
        <w:t xml:space="preserve">5.2  监管合规风险</w:t>
      </w:r>
    </w:p>
    <w:p>
      <w:pPr>
        <w:spacing w:after="120" w:before="120" w:line="360"/>
        <w:jc w:val="both"/>
      </w:pPr>
      <w:r>
        <w:rPr>
          <w:rFonts w:ascii="等线" w:cs="等线" w:eastAsia="等线" w:hAnsi="等线"/>
          <w:b w:val="false"/>
          <w:bCs w:val="false"/>
          <w:color w:val="000000"/>
          <w:sz w:val="22"/>
          <w:szCs w:val="22"/>
        </w:rPr>
        <w:t xml:space="preserve">本产品适用的核心监管文件包括:</w:t>
      </w:r>
    </w:p>
    <w:p>
      <w:pPr>
        <w:pStyle w:val="ListParagraph"/>
        <w:numPr>
          <w:ilvl w:val="0"/>
          <w:numId w:val="2"/>
        </w:numPr>
        <w:spacing w:after="80" w:before="80" w:line="340"/>
      </w:pPr>
      <w:r>
        <w:rPr>
          <w:rFonts w:ascii="等线" w:cs="等线" w:eastAsia="等线" w:hAnsi="等线"/>
          <w:sz w:val="22"/>
          <w:szCs w:val="22"/>
        </w:rPr>
        <w:t xml:space="preserve">《关于加强住房租赁市场监管的意见》(2021年,住建部等六部委)</w:t>
      </w:r>
    </w:p>
    <w:p>
      <w:pPr>
        <w:pStyle w:val="ListParagraph"/>
        <w:numPr>
          <w:ilvl w:val="0"/>
          <w:numId w:val="2"/>
        </w:numPr>
        <w:spacing w:after="80" w:before="80" w:line="340"/>
      </w:pPr>
      <w:r>
        <w:rPr>
          <w:rFonts w:ascii="等线" w:cs="等线" w:eastAsia="等线" w:hAnsi="等线"/>
          <w:sz w:val="22"/>
          <w:szCs w:val="22"/>
        </w:rPr>
        <w:t xml:space="preserve">《住房租赁条例》(2025年9月实施)</w:t>
      </w:r>
    </w:p>
    <w:p>
      <w:pPr>
        <w:pStyle w:val="ListParagraph"/>
        <w:numPr>
          <w:ilvl w:val="0"/>
          <w:numId w:val="2"/>
        </w:numPr>
        <w:spacing w:after="80" w:before="80" w:line="340"/>
      </w:pPr>
      <w:r>
        <w:rPr>
          <w:rFonts w:ascii="等线" w:cs="等线" w:eastAsia="等线" w:hAnsi="等线"/>
          <w:sz w:val="22"/>
          <w:szCs w:val="22"/>
        </w:rPr>
        <w:t xml:space="preserve">《关于金融支持住房租赁市场发展的意见》(2024年,央行/银保监会)</w:t>
      </w:r>
    </w:p>
    <w:p>
      <w:pPr>
        <w:pStyle w:val="ListParagraph"/>
        <w:numPr>
          <w:ilvl w:val="0"/>
          <w:numId w:val="2"/>
        </w:numPr>
        <w:spacing w:after="80" w:before="80" w:line="340"/>
      </w:pPr>
      <w:r>
        <w:rPr>
          <w:rFonts w:ascii="等线" w:cs="等线" w:eastAsia="等线" w:hAnsi="等线"/>
          <w:sz w:val="22"/>
          <w:szCs w:val="22"/>
        </w:rPr>
        <w:t xml:space="preserve">《商业银行互联网贷款管理办法》</w:t>
      </w:r>
    </w:p>
    <w:p>
      <w:pPr>
        <w:pStyle w:val="ListParagraph"/>
        <w:numPr>
          <w:ilvl w:val="0"/>
          <w:numId w:val="2"/>
        </w:numPr>
        <w:spacing w:after="80" w:before="80" w:line="340"/>
      </w:pPr>
      <w:r>
        <w:rPr>
          <w:rFonts w:ascii="等线" w:cs="等线" w:eastAsia="等线" w:hAnsi="等线"/>
          <w:sz w:val="22"/>
          <w:szCs w:val="22"/>
        </w:rPr>
        <w:t xml:space="preserve">《消费金融公司管理办法》</w:t>
      </w:r>
    </w:p>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关键合规红线: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合规要点</w:t>
            </w:r>
          </w:p>
        </w:tc>
        <w:tc>
          <w:tcPr>
            <w:tcW w:type="dxa" w:w="6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具体要求与执行策略</w:t>
            </w:r>
          </w:p>
        </w:tc>
      </w:tr>
      <w:tr>
        <w:tc>
          <w:tcPr>
            <w:tcW w:type="dxa" w:w="2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三个月预收租金限制</w:t>
            </w:r>
          </w:p>
        </w:tc>
        <w:tc>
          <w:tcPr>
            <w:tcW w:type="dxa" w:w="6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住房租赁企业单次收取租金不得超过3个月。江苏银行房租贷一次性支付全年租金,在个人业主场景下触及红线,在机构业主场景下需要核对具体执行口径——这也是本产品永久排除个人业主的核心合规理由之一</w:t>
            </w:r>
          </w:p>
        </w:tc>
      </w:tr>
      <w:tr>
        <w:tc>
          <w:tcPr>
            <w:tcW w:type="dxa" w:w="2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综合年化利率全口径核算</w:t>
            </w:r>
          </w:p>
        </w:tc>
        <w:tc>
          <w:tcPr>
            <w:tcW w:type="dxa" w:w="6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无论以何种名义收取的费用(利息、服务费、增值服务包、灵活支付费等)均要并入综合年化利率核算,严禁通过任何形式变相收息。本产品综合年化锁定在3.5%,合规空间充足</w:t>
            </w:r>
          </w:p>
        </w:tc>
      </w:tr>
      <w:tr>
        <w:tc>
          <w:tcPr>
            <w:tcW w:type="dxa" w:w="2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营销话术合规</w:t>
            </w:r>
          </w:p>
        </w:tc>
        <w:tc>
          <w:tcPr>
            <w:tcW w:type="dxa" w:w="6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严禁诱导租客使用住房租金消费贷款,产品宣传话术需经合规部门统一审定,严禁使用"必须使用""强制分期"等表述</w:t>
            </w:r>
          </w:p>
        </w:tc>
      </w:tr>
      <w:tr>
        <w:tc>
          <w:tcPr>
            <w:tcW w:type="dxa" w:w="2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受托支付真实性</w:t>
            </w:r>
          </w:p>
        </w:tc>
        <w:tc>
          <w:tcPr>
            <w:tcW w:type="dxa" w:w="6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贷款资金必须真实用于支付租金,有真实交易背景。受托支付到业主对公账户的设计能够满足这一要求</w:t>
            </w:r>
          </w:p>
        </w:tc>
      </w:tr>
    </w:tbl>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整改建议:</w:t>
      </w:r>
    </w:p>
    <w:p>
      <w:pPr>
        <w:pStyle w:val="ListParagraph"/>
        <w:numPr>
          <w:ilvl w:val="0"/>
          <w:numId w:val="2"/>
        </w:numPr>
        <w:spacing w:after="80" w:before="80" w:line="340"/>
      </w:pPr>
      <w:r>
        <w:rPr>
          <w:rFonts w:ascii="等线" w:cs="等线" w:eastAsia="等线" w:hAnsi="等线"/>
          <w:sz w:val="22"/>
          <w:szCs w:val="22"/>
        </w:rPr>
        <w:t xml:space="preserve">产品上线前完成专项法律合规审查,聘请外部律所出具合规意见书</w:t>
      </w:r>
    </w:p>
    <w:p>
      <w:pPr>
        <w:pStyle w:val="ListParagraph"/>
        <w:numPr>
          <w:ilvl w:val="0"/>
          <w:numId w:val="2"/>
        </w:numPr>
        <w:spacing w:after="80" w:before="80" w:line="340"/>
      </w:pPr>
      <w:r>
        <w:rPr>
          <w:rFonts w:ascii="等线" w:cs="等线" w:eastAsia="等线" w:hAnsi="等线"/>
          <w:sz w:val="22"/>
          <w:szCs w:val="22"/>
        </w:rPr>
        <w:t xml:space="preserve">产品营销话术由合规部门统一审定,严禁分行私自创作宣传文案</w:t>
      </w:r>
    </w:p>
    <w:p>
      <w:pPr>
        <w:pStyle w:val="ListParagraph"/>
        <w:numPr>
          <w:ilvl w:val="0"/>
          <w:numId w:val="2"/>
        </w:numPr>
        <w:spacing w:after="80" w:before="80" w:line="340"/>
      </w:pPr>
      <w:r>
        <w:rPr>
          <w:rFonts w:ascii="等线" w:cs="等线" w:eastAsia="等线" w:hAnsi="等线"/>
          <w:sz w:val="22"/>
          <w:szCs w:val="22"/>
        </w:rPr>
        <w:t xml:space="preserve">建立按月监测综合年化利率的机制,任何新增收费项目均需重新核算</w:t>
      </w:r>
    </w:p>
    <w:p>
      <w:pPr>
        <w:pStyle w:val="ListParagraph"/>
        <w:numPr>
          <w:ilvl w:val="0"/>
          <w:numId w:val="2"/>
        </w:numPr>
        <w:spacing w:after="80" w:before="80" w:line="340"/>
      </w:pPr>
      <w:r>
        <w:rPr>
          <w:rFonts w:ascii="等线" w:cs="等线" w:eastAsia="等线" w:hAnsi="等线"/>
          <w:sz w:val="22"/>
          <w:szCs w:val="22"/>
        </w:rPr>
        <w:t xml:space="preserve">与江苏省住建厅、地方银保监局保持沟通,确保产品设计符合地方监管口径</w:t>
      </w:r>
    </w:p>
    <w:p>
      <w:pPr>
        <w:pStyle w:val="Heading2"/>
        <w:spacing w:after="160" w:before="280"/>
      </w:pPr>
      <w:r>
        <w:rPr>
          <w:rFonts w:ascii="等线" w:cs="等线" w:eastAsia="等线" w:hAnsi="等线"/>
          <w:b/>
          <w:bCs/>
          <w:color w:val="2E74B5"/>
          <w:sz w:val="26"/>
          <w:szCs w:val="26"/>
        </w:rPr>
        <w:t xml:space="preserve">5.3  提前退租处置漏洞</w:t>
      </w:r>
    </w:p>
    <w:p>
      <w:pPr>
        <w:spacing w:after="120" w:before="120" w:line="360"/>
        <w:jc w:val="both"/>
      </w:pPr>
      <w:r>
        <w:rPr>
          <w:rFonts w:ascii="等线" w:cs="等线" w:eastAsia="等线" w:hAnsi="等线"/>
          <w:b w:val="false"/>
          <w:bCs w:val="false"/>
          <w:color w:val="000000"/>
          <w:sz w:val="22"/>
          <w:szCs w:val="22"/>
        </w:rPr>
        <w:t xml:space="preserve">当前方案规定"贷款关系不变、租金结算由业主直接退还租客、已收取贴息不退还",存在三个执行漏洞:</w:t>
      </w:r>
    </w:p>
    <w:p>
      <w:pPr>
        <w:pStyle w:val="ListParagraph"/>
        <w:numPr>
          <w:ilvl w:val="0"/>
          <w:numId w:val="2"/>
        </w:numPr>
        <w:spacing w:after="80" w:before="80" w:line="340"/>
      </w:pPr>
      <w:r>
        <w:rPr>
          <w:rFonts w:ascii="等线" w:cs="等线" w:eastAsia="等线" w:hAnsi="等线"/>
          <w:sz w:val="22"/>
          <w:szCs w:val="22"/>
        </w:rPr>
        <w:t xml:space="preserve">业主拒不退还租金时,租客的救济路径不清晰,容易引发投诉和舆情</w:t>
      </w:r>
    </w:p>
    <w:p>
      <w:pPr>
        <w:pStyle w:val="ListParagraph"/>
        <w:numPr>
          <w:ilvl w:val="0"/>
          <w:numId w:val="2"/>
        </w:numPr>
        <w:spacing w:after="80" w:before="80" w:line="340"/>
      </w:pPr>
      <w:r>
        <w:rPr>
          <w:rFonts w:ascii="等线" w:cs="等线" w:eastAsia="等线" w:hAnsi="等线"/>
          <w:sz w:val="22"/>
          <w:szCs w:val="22"/>
        </w:rPr>
        <w:t xml:space="preserve">银行被动等待租客偿还,缺乏主动风险化解机制</w:t>
      </w:r>
    </w:p>
    <w:p>
      <w:pPr>
        <w:pStyle w:val="ListParagraph"/>
        <w:numPr>
          <w:ilvl w:val="0"/>
          <w:numId w:val="2"/>
        </w:numPr>
        <w:spacing w:after="80" w:before="80" w:line="340"/>
      </w:pPr>
      <w:r>
        <w:rPr>
          <w:rFonts w:ascii="等线" w:cs="等线" w:eastAsia="等线" w:hAnsi="等线"/>
          <w:sz w:val="22"/>
          <w:szCs w:val="22"/>
        </w:rPr>
        <w:t xml:space="preserve">贴息不退还对业主不友好,降低合作意愿</w:t>
      </w:r>
    </w:p>
    <w:p>
      <w:r>
        <w:rPr>
          <w:rFonts w:ascii="等线" w:cs="等线" w:eastAsia="等线" w:hAnsi="等线"/>
        </w:rPr>
        <w:t xml:space="preserve"/>
      </w:r>
    </w:p>
    <w:p>
      <w:pPr>
        <w:spacing w:after="120" w:before="120" w:line="360"/>
        <w:jc w:val="both"/>
      </w:pPr>
      <w:r>
        <w:rPr>
          <w:rFonts w:ascii="等线" w:cs="等线" w:eastAsia="等线" w:hAnsi="等线"/>
          <w:b w:val="false"/>
          <w:bCs w:val="false"/>
          <w:color w:val="000000"/>
          <w:sz w:val="22"/>
          <w:szCs w:val="22"/>
        </w:rPr>
        <w:t xml:space="preserve">整改建议:</w:t>
      </w:r>
    </w:p>
    <w:p>
      <w:pPr>
        <w:pStyle w:val="ListParagraph"/>
        <w:numPr>
          <w:ilvl w:val="0"/>
          <w:numId w:val="2"/>
        </w:numPr>
        <w:spacing w:after="80" w:before="80" w:line="340"/>
      </w:pPr>
      <w:r>
        <w:rPr>
          <w:rFonts w:ascii="等线" w:cs="等线" w:eastAsia="等线" w:hAnsi="等线"/>
          <w:b/>
          <w:bCs/>
          <w:sz w:val="22"/>
          <w:szCs w:val="22"/>
        </w:rPr>
        <w:t xml:space="preserve">合同设计联动机制</w:t>
      </w:r>
      <w:r>
        <w:rPr>
          <w:rFonts w:ascii="等线" w:cs="等线" w:eastAsia="等线" w:hAnsi="等线"/>
          <w:sz w:val="22"/>
          <w:szCs w:val="22"/>
        </w:rPr>
        <w:t xml:space="preserve">:在贷款合同与租赁合同中加入交叉条款,租赁合同解除自动触发贷款合同处置,银行可直接从业主对公账户划扣剩余租金抵偿剩余贷款</w:t>
      </w:r>
    </w:p>
    <w:p>
      <w:pPr>
        <w:pStyle w:val="ListParagraph"/>
        <w:numPr>
          <w:ilvl w:val="0"/>
          <w:numId w:val="2"/>
        </w:numPr>
        <w:spacing w:after="80" w:before="80" w:line="340"/>
      </w:pPr>
      <w:r>
        <w:rPr>
          <w:rFonts w:ascii="等线" w:cs="等线" w:eastAsia="等线" w:hAnsi="等线"/>
          <w:b/>
          <w:bCs/>
          <w:sz w:val="22"/>
          <w:szCs w:val="22"/>
        </w:rPr>
        <w:t xml:space="preserve">贴息退还机制</w:t>
      </w:r>
      <w:r>
        <w:rPr>
          <w:rFonts w:ascii="等线" w:cs="等线" w:eastAsia="等线" w:hAnsi="等线"/>
          <w:sz w:val="22"/>
          <w:szCs w:val="22"/>
        </w:rPr>
        <w:t xml:space="preserve">:提前结清时按已使用期数比例退还部分贴息给业主,提升业主合作意愿。例如租客住满3个月退租,业主可获得9/12的贴息退还</w:t>
      </w:r>
    </w:p>
    <w:p>
      <w:pPr>
        <w:pStyle w:val="ListParagraph"/>
        <w:numPr>
          <w:ilvl w:val="0"/>
          <w:numId w:val="2"/>
        </w:numPr>
        <w:spacing w:after="80" w:before="80" w:line="340"/>
      </w:pPr>
      <w:r>
        <w:rPr>
          <w:rFonts w:ascii="等线" w:cs="等线" w:eastAsia="等线" w:hAnsi="等线"/>
          <w:b/>
          <w:bCs/>
          <w:sz w:val="22"/>
          <w:szCs w:val="22"/>
        </w:rPr>
        <w:t xml:space="preserve">客户响应通道</w:t>
      </w:r>
      <w:r>
        <w:rPr>
          <w:rFonts w:ascii="等线" w:cs="等线" w:eastAsia="等线" w:hAnsi="等线"/>
          <w:sz w:val="22"/>
          <w:szCs w:val="22"/>
        </w:rPr>
        <w:t xml:space="preserve">:设立24小时客户服务通道,处理租客提前退租诉求,避免投诉升级</w:t>
      </w:r>
    </w:p>
    <w:p>
      <w:pPr>
        <w:pStyle w:val="Heading2"/>
        <w:spacing w:after="160" w:before="280"/>
      </w:pPr>
      <w:r>
        <w:rPr>
          <w:rFonts w:ascii="等线" w:cs="等线" w:eastAsia="等线" w:hAnsi="等线"/>
          <w:b/>
          <w:bCs/>
          <w:color w:val="2E74B5"/>
          <w:sz w:val="26"/>
          <w:szCs w:val="26"/>
        </w:rPr>
        <w:t xml:space="preserve">5.4  信用风险</w:t>
      </w:r>
    </w:p>
    <w:p>
      <w:pPr>
        <w:spacing w:after="120" w:before="120" w:line="360"/>
        <w:jc w:val="both"/>
      </w:pPr>
      <w:r>
        <w:rPr>
          <w:rFonts w:ascii="等线" w:cs="等线" w:eastAsia="等线" w:hAnsi="等线"/>
          <w:b w:val="false"/>
          <w:bCs w:val="false"/>
          <w:color w:val="000000"/>
          <w:sz w:val="22"/>
          <w:szCs w:val="22"/>
        </w:rPr>
        <w:t xml:space="preserve">虽然产品定位为优质客群消费贷,但仍是无抵押信用贷款,需要建立专项风控体系:</w:t>
      </w:r>
    </w:p>
    <w:p>
      <w:pPr>
        <w:pStyle w:val="ListParagraph"/>
        <w:numPr>
          <w:ilvl w:val="0"/>
          <w:numId w:val="2"/>
        </w:numPr>
        <w:spacing w:after="80" w:before="80" w:line="340"/>
      </w:pPr>
      <w:r>
        <w:rPr>
          <w:rFonts w:ascii="等线" w:cs="等线" w:eastAsia="等线" w:hAnsi="等线"/>
          <w:b/>
          <w:bCs/>
          <w:sz w:val="22"/>
          <w:szCs w:val="22"/>
        </w:rPr>
        <w:t xml:space="preserve">数据源接入</w:t>
      </w:r>
      <w:r>
        <w:rPr>
          <w:rFonts w:ascii="等线" w:cs="等线" w:eastAsia="等线" w:hAnsi="等线"/>
          <w:sz w:val="22"/>
          <w:szCs w:val="22"/>
        </w:rPr>
        <w:t xml:space="preserve">:接入央行征信、百行征信、本行行内数据,建立租客准入评分卡</w:t>
      </w:r>
    </w:p>
    <w:p>
      <w:pPr>
        <w:pStyle w:val="ListParagraph"/>
        <w:numPr>
          <w:ilvl w:val="0"/>
          <w:numId w:val="2"/>
        </w:numPr>
        <w:spacing w:after="80" w:before="80" w:line="340"/>
      </w:pPr>
      <w:r>
        <w:rPr>
          <w:rFonts w:ascii="等线" w:cs="等线" w:eastAsia="等线" w:hAnsi="等线"/>
          <w:b/>
          <w:bCs/>
          <w:sz w:val="22"/>
          <w:szCs w:val="22"/>
        </w:rPr>
        <w:t xml:space="preserve">集中度管理</w:t>
      </w:r>
      <w:r>
        <w:rPr>
          <w:rFonts w:ascii="等线" w:cs="等线" w:eastAsia="等线" w:hAnsi="等线"/>
          <w:sz w:val="22"/>
          <w:szCs w:val="22"/>
        </w:rPr>
        <w:t xml:space="preserve">:设置风险敞口上限,单一城市集中度不超过总盘子30%,单一业主集中度不超过20%,避免局部市场风险传染</w:t>
      </w:r>
    </w:p>
    <w:p>
      <w:pPr>
        <w:pStyle w:val="ListParagraph"/>
        <w:numPr>
          <w:ilvl w:val="0"/>
          <w:numId w:val="2"/>
        </w:numPr>
        <w:spacing w:after="80" w:before="80" w:line="340"/>
      </w:pPr>
      <w:r>
        <w:rPr>
          <w:rFonts w:ascii="等线" w:cs="等线" w:eastAsia="等线" w:hAnsi="等线"/>
          <w:b/>
          <w:bCs/>
          <w:sz w:val="22"/>
          <w:szCs w:val="22"/>
        </w:rPr>
        <w:t xml:space="preserve">贷后管理</w:t>
      </w:r>
      <w:r>
        <w:rPr>
          <w:rFonts w:ascii="等线" w:cs="等线" w:eastAsia="等线" w:hAnsi="等线"/>
          <w:sz w:val="22"/>
          <w:szCs w:val="22"/>
        </w:rPr>
        <w:t xml:space="preserve">:建立逾期催收专门通道,与租赁合同解除联动处置,30天内积极催收、60天进入风险化解程序</w:t>
      </w:r>
    </w:p>
    <w:p>
      <w:pPr>
        <w:pStyle w:val="ListParagraph"/>
        <w:numPr>
          <w:ilvl w:val="0"/>
          <w:numId w:val="2"/>
        </w:numPr>
        <w:spacing w:after="80" w:before="80" w:line="340"/>
      </w:pPr>
      <w:r>
        <w:rPr>
          <w:rFonts w:ascii="等线" w:cs="等线" w:eastAsia="等线" w:hAnsi="等线"/>
          <w:b/>
          <w:bCs/>
          <w:sz w:val="22"/>
          <w:szCs w:val="22"/>
        </w:rPr>
        <w:t xml:space="preserve">反欺诈机制</w:t>
      </w:r>
      <w:r>
        <w:rPr>
          <w:rFonts w:ascii="等线" w:cs="等线" w:eastAsia="等线" w:hAnsi="等线"/>
          <w:sz w:val="22"/>
          <w:szCs w:val="22"/>
        </w:rPr>
        <w:t xml:space="preserve">:重点防范租客与业主串通骗贷、虚假租赁合同等欺诈行为,建立合作业主与租客的关联关系核查机制</w:t>
      </w:r>
    </w:p>
    <w:p>
      <w:r>
        <w:br w:type="page"/>
      </w:r>
    </w:p>
    <w:p>
      <w:pPr>
        <w:pStyle w:val="Heading1"/>
        <w:spacing w:after="200" w:before="360"/>
      </w:pPr>
      <w:r>
        <w:rPr>
          <w:rFonts w:ascii="等线" w:cs="等线" w:eastAsia="等线" w:hAnsi="等线"/>
          <w:b/>
          <w:bCs/>
          <w:color w:val="1F3864"/>
          <w:sz w:val="32"/>
          <w:szCs w:val="32"/>
        </w:rPr>
        <w:t xml:space="preserve">第六章  推广路径与里程碑</w:t>
      </w:r>
    </w:p>
    <w:p>
      <w:pPr>
        <w:pStyle w:val="Heading2"/>
        <w:spacing w:after="160" w:before="280"/>
      </w:pPr>
      <w:r>
        <w:rPr>
          <w:rFonts w:ascii="等线" w:cs="等线" w:eastAsia="等线" w:hAnsi="等线"/>
          <w:b/>
          <w:bCs/>
          <w:color w:val="2E74B5"/>
          <w:sz w:val="26"/>
          <w:szCs w:val="26"/>
        </w:rPr>
        <w:t xml:space="preserve">6.1  三阶段推广计划</w:t>
      </w:r>
    </w:p>
    <w:p>
      <w:pPr>
        <w:spacing w:after="120" w:before="120" w:line="360"/>
        <w:jc w:val="both"/>
      </w:pPr>
      <w:r>
        <w:rPr>
          <w:rFonts w:ascii="等线" w:cs="等线" w:eastAsia="等线" w:hAnsi="等线"/>
          <w:b w:val="false"/>
          <w:bCs w:val="false"/>
          <w:color w:val="000000"/>
          <w:sz w:val="22"/>
          <w:szCs w:val="22"/>
        </w:rPr>
        <w:t xml:space="preserve">基于C端先行、B端延伸的双轨策略,产品推广按三阶段展开: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2726"/>
      </w:tblGrid>
      <w:tr>
        <w:trPr>
          <w:tblHeader/>
        </w:trPr>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阶段</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时间</w:t>
            </w:r>
          </w:p>
        </w:tc>
        <w:tc>
          <w:tcPr>
            <w:tcW w:type="dxa" w:w="27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工作重点</w:t>
            </w:r>
          </w:p>
        </w:tc>
        <w:tc>
          <w:tcPr>
            <w:tcW w:type="dxa" w:w="27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规模目标</w:t>
            </w:r>
          </w:p>
        </w:tc>
      </w:tr>
      <w:tr>
        <w:tc>
          <w:tcPr>
            <w:tcW w:type="dxa" w:w="1800"/>
            <w:tcBorders>
              <w:top w:val="single" w:color="8FAADC" w:sz="4"/>
              <w:left w:val="single" w:color="8FAADC" w:sz="4"/>
              <w:bottom w:val="single" w:color="8FAADC" w:sz="4"/>
              <w:right w:val="single" w:color="8FAADC" w:sz="4"/>
            </w:tcBorders>
            <w:shd w:fill="DEEBF7"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试点验证期</w:t>
            </w:r>
          </w:p>
        </w:tc>
        <w:tc>
          <w:tcPr>
            <w:tcW w:type="dxa" w:w="1800"/>
            <w:tcBorders>
              <w:top w:val="single" w:color="8FAADC" w:sz="4"/>
              <w:left w:val="single" w:color="8FAADC" w:sz="4"/>
              <w:bottom w:val="single" w:color="8FAADC" w:sz="4"/>
              <w:right w:val="single" w:color="8FAADC" w:sz="4"/>
            </w:tcBorders>
            <w:shd w:fill="DEEBF7"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0-6个月</w:t>
            </w:r>
          </w:p>
        </w:tc>
        <w:tc>
          <w:tcPr>
            <w:tcW w:type="dxa" w:w="2700"/>
            <w:tcBorders>
              <w:top w:val="single" w:color="8FAADC" w:sz="4"/>
              <w:left w:val="single" w:color="8FAADC" w:sz="4"/>
              <w:bottom w:val="single" w:color="8FAADC" w:sz="4"/>
              <w:right w:val="single" w:color="8FAADC" w:sz="4"/>
            </w:tcBorders>
            <w:shd w:fill="DEEBF7"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选3-4个核心城市(南京、苏州、无锡、常州),首批接入5-8家头部合作业主</w:t>
            </w:r>
          </w:p>
        </w:tc>
        <w:tc>
          <w:tcPr>
            <w:tcW w:type="dxa" w:w="2726"/>
            <w:tcBorders>
              <w:top w:val="single" w:color="8FAADC" w:sz="4"/>
              <w:left w:val="single" w:color="8FAADC" w:sz="4"/>
              <w:bottom w:val="single" w:color="8FAADC" w:sz="4"/>
              <w:right w:val="single" w:color="8FAADC" w:sz="4"/>
            </w:tcBorders>
            <w:shd w:fill="DEEBF7"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1-3亿元放款</w:t>
            </w:r>
          </w:p>
        </w:tc>
      </w:tr>
      <w:tr>
        <w:tc>
          <w:tcPr>
            <w:tcW w:type="dxa" w:w="18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全省铺开期</w:t>
            </w:r>
          </w:p>
        </w:tc>
        <w:tc>
          <w:tcPr>
            <w:tcW w:type="dxa" w:w="18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6-12个月</w:t>
            </w:r>
          </w:p>
        </w:tc>
        <w:tc>
          <w:tcPr>
            <w:tcW w:type="dxa" w:w="2700"/>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扩展至江苏省13个地市,合作业主拓展至30-50家</w:t>
            </w:r>
          </w:p>
        </w:tc>
        <w:tc>
          <w:tcPr>
            <w:tcW w:type="dxa" w:w="2726"/>
            <w:tcBorders>
              <w:top w:val="single" w:color="8FAADC" w:sz="4"/>
              <w:left w:val="single" w:color="8FAADC" w:sz="4"/>
              <w:bottom w:val="single" w:color="8FAADC" w:sz="4"/>
              <w:right w:val="single" w:color="8FAADC" w:sz="4"/>
            </w:tcBorders>
            <w:shd w:fill="E2EFDA"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20-30亿元放款</w:t>
            </w:r>
          </w:p>
        </w:tc>
      </w:tr>
      <w:tr>
        <w:tc>
          <w:tcPr>
            <w:tcW w:type="dxa" w:w="18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双轨升级期</w:t>
            </w:r>
          </w:p>
        </w:tc>
        <w:tc>
          <w:tcPr>
            <w:tcW w:type="dxa" w:w="18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12-24个月</w:t>
            </w:r>
          </w:p>
        </w:tc>
        <w:tc>
          <w:tcPr>
            <w:tcW w:type="dxa" w:w="2700"/>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启动B端转贷模式,对优质合作方升级为经营贷+租金分期组合,探索向长三角延伸</w:t>
            </w:r>
          </w:p>
        </w:tc>
        <w:tc>
          <w:tcPr>
            <w:tcW w:type="dxa" w:w="2726"/>
            <w:tcBorders>
              <w:top w:val="single" w:color="8FAADC" w:sz="4"/>
              <w:left w:val="single" w:color="8FAADC" w:sz="4"/>
              <w:bottom w:val="single" w:color="8FAADC" w:sz="4"/>
              <w:right w:val="single" w:color="8FAADC" w:sz="4"/>
            </w:tcBorders>
            <w:shd w:fill="FFF2CC" w:val="clear"/>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累计80-120亿元</w:t>
            </w:r>
          </w:p>
        </w:tc>
      </w:tr>
    </w:tbl>
    <w:p>
      <w:r>
        <w:rPr>
          <w:rFonts w:ascii="等线" w:cs="等线" w:eastAsia="等线" w:hAnsi="等线"/>
        </w:rPr>
        <w:t xml:space="preserve"/>
      </w:r>
    </w:p>
    <w:p>
      <w:pPr>
        <w:pStyle w:val="Heading3"/>
        <w:spacing w:after="120" w:before="200"/>
      </w:pPr>
      <w:r>
        <w:rPr>
          <w:rFonts w:ascii="等线" w:cs="等线" w:eastAsia="等线" w:hAnsi="等线"/>
          <w:b/>
          <w:bCs/>
          <w:color w:val="2E74B5"/>
          <w:sz w:val="23"/>
          <w:szCs w:val="23"/>
        </w:rPr>
        <w:t xml:space="preserve">第一阶段:试点验证期(0-6个月)</w:t>
      </w:r>
    </w:p>
    <w:p>
      <w:pPr>
        <w:spacing w:after="120" w:before="120" w:line="360"/>
        <w:jc w:val="both"/>
      </w:pPr>
      <w:r>
        <w:rPr>
          <w:rFonts w:ascii="等线" w:cs="等线" w:eastAsia="等线" w:hAnsi="等线"/>
          <w:b w:val="false"/>
          <w:bCs w:val="false"/>
          <w:color w:val="000000"/>
          <w:sz w:val="22"/>
          <w:szCs w:val="22"/>
        </w:rPr>
        <w:t xml:space="preserve">核心任务是验证产品机制、跑通运营流程、积累风控数据。建议在南京、苏州两市先行试点,接入对象限定为国央企租赁平台和品牌长租公寓TOP10,严格控制规模、重点积累数据。试点期间需要重点观察:</w:t>
      </w:r>
    </w:p>
    <w:p>
      <w:pPr>
        <w:pStyle w:val="ListParagraph"/>
        <w:numPr>
          <w:ilvl w:val="0"/>
          <w:numId w:val="2"/>
        </w:numPr>
        <w:spacing w:after="80" w:before="80" w:line="340"/>
      </w:pPr>
      <w:r>
        <w:rPr>
          <w:rFonts w:ascii="等线" w:cs="等线" w:eastAsia="等线" w:hAnsi="等线"/>
          <w:sz w:val="22"/>
          <w:szCs w:val="22"/>
        </w:rPr>
        <w:t xml:space="preserve">产品申请转化率(从渠道引流到放款完成的转化漏斗)</w:t>
      </w:r>
    </w:p>
    <w:p>
      <w:pPr>
        <w:pStyle w:val="ListParagraph"/>
        <w:numPr>
          <w:ilvl w:val="0"/>
          <w:numId w:val="2"/>
        </w:numPr>
        <w:spacing w:after="80" w:before="80" w:line="340"/>
      </w:pPr>
      <w:r>
        <w:rPr>
          <w:rFonts w:ascii="等线" w:cs="等线" w:eastAsia="等线" w:hAnsi="等线"/>
          <w:sz w:val="22"/>
          <w:szCs w:val="22"/>
        </w:rPr>
        <w:t xml:space="preserve">客户征信通过率和拒贷率</w:t>
      </w:r>
    </w:p>
    <w:p>
      <w:pPr>
        <w:pStyle w:val="ListParagraph"/>
        <w:numPr>
          <w:ilvl w:val="0"/>
          <w:numId w:val="2"/>
        </w:numPr>
        <w:spacing w:after="80" w:before="80" w:line="340"/>
      </w:pPr>
      <w:r>
        <w:rPr>
          <w:rFonts w:ascii="等线" w:cs="等线" w:eastAsia="等线" w:hAnsi="等线"/>
          <w:sz w:val="22"/>
          <w:szCs w:val="22"/>
        </w:rPr>
        <w:t xml:space="preserve">业主端运营合规性和资金到账时效</w:t>
      </w:r>
    </w:p>
    <w:p>
      <w:pPr>
        <w:pStyle w:val="ListParagraph"/>
        <w:numPr>
          <w:ilvl w:val="0"/>
          <w:numId w:val="2"/>
        </w:numPr>
        <w:spacing w:after="80" w:before="80" w:line="340"/>
      </w:pPr>
      <w:r>
        <w:rPr>
          <w:rFonts w:ascii="等线" w:cs="等线" w:eastAsia="等线" w:hAnsi="等线"/>
          <w:sz w:val="22"/>
          <w:szCs w:val="22"/>
        </w:rPr>
        <w:t xml:space="preserve">早期逾期率(M1逾期率,通常应低于1%)</w:t>
      </w:r>
    </w:p>
    <w:p>
      <w:pPr>
        <w:pStyle w:val="Heading3"/>
        <w:spacing w:after="120" w:before="200"/>
      </w:pPr>
      <w:r>
        <w:rPr>
          <w:rFonts w:ascii="等线" w:cs="等线" w:eastAsia="等线" w:hAnsi="等线"/>
          <w:b/>
          <w:bCs/>
          <w:color w:val="2E74B5"/>
          <w:sz w:val="23"/>
          <w:szCs w:val="23"/>
        </w:rPr>
        <w:t xml:space="preserve">第二阶段:全省铺开期(6-12个月)</w:t>
      </w:r>
    </w:p>
    <w:p>
      <w:pPr>
        <w:spacing w:after="120" w:before="120" w:line="360"/>
        <w:jc w:val="both"/>
      </w:pPr>
      <w:r>
        <w:rPr>
          <w:rFonts w:ascii="等线" w:cs="等线" w:eastAsia="等线" w:hAnsi="等线"/>
          <w:b w:val="false"/>
          <w:bCs w:val="false"/>
          <w:color w:val="000000"/>
          <w:sz w:val="22"/>
          <w:szCs w:val="22"/>
        </w:rPr>
        <w:t xml:space="preserve">在试点验证基础上,扩展至江苏省13个地市,合作业主拓展至30-50家。这一阶段重点突破:</w:t>
      </w:r>
    </w:p>
    <w:p>
      <w:pPr>
        <w:pStyle w:val="ListParagraph"/>
        <w:numPr>
          <w:ilvl w:val="0"/>
          <w:numId w:val="2"/>
        </w:numPr>
        <w:spacing w:after="80" w:before="80" w:line="340"/>
      </w:pPr>
      <w:r>
        <w:rPr>
          <w:rFonts w:ascii="等线" w:cs="等线" w:eastAsia="等线" w:hAnsi="等线"/>
          <w:sz w:val="22"/>
          <w:szCs w:val="22"/>
        </w:rPr>
        <w:t xml:space="preserve">平衡档准入下的业主拓展,从头部品牌延伸至区域品牌</w:t>
      </w:r>
    </w:p>
    <w:p>
      <w:pPr>
        <w:pStyle w:val="ListParagraph"/>
        <w:numPr>
          <w:ilvl w:val="0"/>
          <w:numId w:val="2"/>
        </w:numPr>
        <w:spacing w:after="80" w:before="80" w:line="340"/>
      </w:pPr>
      <w:r>
        <w:rPr>
          <w:rFonts w:ascii="等线" w:cs="等线" w:eastAsia="等线" w:hAnsi="等线"/>
          <w:sz w:val="22"/>
          <w:szCs w:val="22"/>
        </w:rPr>
        <w:t xml:space="preserve">营销话术和流程标准化,完成分行培训</w:t>
      </w:r>
    </w:p>
    <w:p>
      <w:pPr>
        <w:pStyle w:val="ListParagraph"/>
        <w:numPr>
          <w:ilvl w:val="0"/>
          <w:numId w:val="2"/>
        </w:numPr>
        <w:spacing w:after="80" w:before="80" w:line="340"/>
      </w:pPr>
      <w:r>
        <w:rPr>
          <w:rFonts w:ascii="等线" w:cs="等线" w:eastAsia="等线" w:hAnsi="等线"/>
          <w:sz w:val="22"/>
          <w:szCs w:val="22"/>
        </w:rPr>
        <w:t xml:space="preserve">线上化办理流程优化,目标实现"租客手机端3分钟申请、24小时放款"</w:t>
      </w:r>
    </w:p>
    <w:p>
      <w:pPr>
        <w:pStyle w:val="ListParagraph"/>
        <w:numPr>
          <w:ilvl w:val="0"/>
          <w:numId w:val="2"/>
        </w:numPr>
        <w:spacing w:after="80" w:before="80" w:line="340"/>
      </w:pPr>
      <w:r>
        <w:rPr>
          <w:rFonts w:ascii="等线" w:cs="等线" w:eastAsia="等线" w:hAnsi="等线"/>
          <w:sz w:val="22"/>
          <w:szCs w:val="22"/>
        </w:rPr>
        <w:t xml:space="preserve">与江苏银行手机银行APP、微信小程序的入口集成</w:t>
      </w:r>
    </w:p>
    <w:p>
      <w:pPr>
        <w:pStyle w:val="Heading3"/>
        <w:spacing w:after="120" w:before="200"/>
      </w:pPr>
      <w:r>
        <w:rPr>
          <w:rFonts w:ascii="等线" w:cs="等线" w:eastAsia="等线" w:hAnsi="等线"/>
          <w:b/>
          <w:bCs/>
          <w:color w:val="2E74B5"/>
          <w:sz w:val="23"/>
          <w:szCs w:val="23"/>
        </w:rPr>
        <w:t xml:space="preserve">第三阶段:双轨升级期(12-24个月)</w:t>
      </w:r>
    </w:p>
    <w:p>
      <w:pPr>
        <w:spacing w:after="120" w:before="120" w:line="360"/>
        <w:jc w:val="both"/>
      </w:pPr>
      <w:r>
        <w:rPr>
          <w:rFonts w:ascii="等线" w:cs="等线" w:eastAsia="等线" w:hAnsi="等线"/>
          <w:b w:val="false"/>
          <w:bCs w:val="false"/>
          <w:color w:val="000000"/>
          <w:sz w:val="22"/>
          <w:szCs w:val="22"/>
        </w:rPr>
        <w:t xml:space="preserve">启动B端转贷模式,对优质合作方升级为"经营贷+租金分期"组合产品。同时探索向长三角周边省份延伸,可优先考虑上海、浙江两地。这一阶段重点突破:</w:t>
      </w:r>
    </w:p>
    <w:p>
      <w:pPr>
        <w:pStyle w:val="ListParagraph"/>
        <w:numPr>
          <w:ilvl w:val="0"/>
          <w:numId w:val="2"/>
        </w:numPr>
        <w:spacing w:after="80" w:before="80" w:line="340"/>
      </w:pPr>
      <w:r>
        <w:rPr>
          <w:rFonts w:ascii="等线" w:cs="等线" w:eastAsia="等线" w:hAnsi="等线"/>
          <w:sz w:val="22"/>
          <w:szCs w:val="22"/>
        </w:rPr>
        <w:t xml:space="preserve">对公协同,实现单家头部合作业主的综合金融服务</w:t>
      </w:r>
    </w:p>
    <w:p>
      <w:pPr>
        <w:pStyle w:val="ListParagraph"/>
        <w:numPr>
          <w:ilvl w:val="0"/>
          <w:numId w:val="2"/>
        </w:numPr>
        <w:spacing w:after="80" w:before="80" w:line="340"/>
      </w:pPr>
      <w:r>
        <w:rPr>
          <w:rFonts w:ascii="等线" w:cs="等线" w:eastAsia="等线" w:hAnsi="等线"/>
          <w:sz w:val="22"/>
          <w:szCs w:val="22"/>
        </w:rPr>
        <w:t xml:space="preserve">金租联动,对长租公寓重资产融资形成全链条覆盖</w:t>
      </w:r>
    </w:p>
    <w:p>
      <w:pPr>
        <w:pStyle w:val="ListParagraph"/>
        <w:numPr>
          <w:ilvl w:val="0"/>
          <w:numId w:val="2"/>
        </w:numPr>
        <w:spacing w:after="80" w:before="80" w:line="340"/>
      </w:pPr>
      <w:r>
        <w:rPr>
          <w:rFonts w:ascii="等线" w:cs="等线" w:eastAsia="等线" w:hAnsi="等线"/>
          <w:sz w:val="22"/>
          <w:szCs w:val="22"/>
        </w:rPr>
        <w:t xml:space="preserve">产品矩阵化,形成C端基础款、C端进阶款、B端转贷款三个产品线</w:t>
      </w:r>
    </w:p>
    <w:p>
      <w:pPr>
        <w:pStyle w:val="ListParagraph"/>
        <w:numPr>
          <w:ilvl w:val="0"/>
          <w:numId w:val="2"/>
        </w:numPr>
        <w:spacing w:after="80" w:before="80" w:line="340"/>
      </w:pPr>
      <w:r>
        <w:rPr>
          <w:rFonts w:ascii="等线" w:cs="等线" w:eastAsia="等线" w:hAnsi="等线"/>
          <w:sz w:val="22"/>
          <w:szCs w:val="22"/>
        </w:rPr>
        <w:t xml:space="preserve">数字化运营,基于积累的数据建立精准营销模型</w:t>
      </w:r>
    </w:p>
    <w:p>
      <w:pPr>
        <w:pStyle w:val="Heading2"/>
        <w:spacing w:after="160" w:before="280"/>
      </w:pPr>
      <w:r>
        <w:rPr>
          <w:rFonts w:ascii="等线" w:cs="等线" w:eastAsia="等线" w:hAnsi="等线"/>
          <w:b/>
          <w:bCs/>
          <w:color w:val="2E74B5"/>
          <w:sz w:val="26"/>
          <w:szCs w:val="26"/>
        </w:rPr>
        <w:t xml:space="preserve">6.2  关键里程碑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时间节点</w:t>
            </w:r>
          </w:p>
        </w:tc>
        <w:tc>
          <w:tcPr>
            <w:tcW w:type="dxa" w:w="7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里程碑事件</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M+1</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完成产品立项,获得行内审批</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M+2</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完成法律合规审查,聘请外部律所出具合规意见</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M+3</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完成系统开发与测试,首批3家合作业主签约</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M+4</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首笔房租贷放款,试点正式启动</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M+6</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试点期阶段评估,累计放款≥1亿元,M1逾期率&lt;1%</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M+9</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江苏省内全部13地市完成首笔放款</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M+12</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全省铺开期评估,累计放款≥20亿元,启动B端转贷产品立项</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M+18</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B端转贷产品正式上线,首批5家合作业主完成升级</w:t>
            </w:r>
          </w:p>
        </w:tc>
      </w:tr>
      <w:tr>
        <w:tc>
          <w:tcPr>
            <w:tcW w:type="dxa" w:w="18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M+24</w:t>
            </w:r>
          </w:p>
        </w:tc>
        <w:tc>
          <w:tcPr>
            <w:tcW w:type="dxa" w:w="7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双轨产品体系成熟,累计放款80-120亿元,启动长三角延伸</w:t>
            </w:r>
          </w:p>
        </w:tc>
      </w:tr>
    </w:tbl>
    <w:p>
      <w:r>
        <w:rPr>
          <w:rFonts w:ascii="等线" w:cs="等线" w:eastAsia="等线" w:hAnsi="等线"/>
        </w:rPr>
        <w:t xml:space="preserve"/>
      </w:r>
    </w:p>
    <w:p>
      <w:pPr>
        <w:pStyle w:val="Heading2"/>
        <w:spacing w:after="160" w:before="280"/>
      </w:pPr>
      <w:r>
        <w:rPr>
          <w:rFonts w:ascii="等线" w:cs="等线" w:eastAsia="等线" w:hAnsi="等线"/>
          <w:b/>
          <w:bCs/>
          <w:color w:val="2E74B5"/>
          <w:sz w:val="26"/>
          <w:szCs w:val="26"/>
        </w:rPr>
        <w:t xml:space="preserve">6.3  KPI体系</w:t>
      </w:r>
    </w:p>
    <w:p>
      <w:pPr>
        <w:spacing w:after="120" w:before="120" w:line="360"/>
        <w:jc w:val="both"/>
      </w:pPr>
      <w:r>
        <w:rPr>
          <w:rFonts w:ascii="等线" w:cs="等线" w:eastAsia="等线" w:hAnsi="等线"/>
          <w:b w:val="false"/>
          <w:bCs w:val="false"/>
          <w:color w:val="000000"/>
          <w:sz w:val="22"/>
          <w:szCs w:val="22"/>
        </w:rPr>
        <w:t xml:space="preserve">建议KPI体系按"规模、质量、协同"三个维度设计,避免单一规模导向带来的风险积累: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维度</w:t>
            </w:r>
          </w:p>
        </w:tc>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指标</w:t>
            </w:r>
          </w:p>
        </w:tc>
        <w:tc>
          <w:tcPr>
            <w:tcW w:type="dxa" w:w="51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目标值(24个月累计)</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规模</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累计放款金额</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80-120亿元</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规模</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在贷客户数</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≥10万户</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规模</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合作业主数</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≥80家</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质量</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30天逾期率</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&lt;1.5%</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质量</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不良率</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&lt;1%</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质量</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客户满意度(NPS)</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&gt;50</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质量</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投诉率</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&lt;0.1%</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协同</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新增对公账户开立数</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≥80户</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协同</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对公存款沉淀规模</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≥20亿元</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协同</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衍生供应链金融业务规模</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≥10亿元</w:t>
            </w:r>
          </w:p>
        </w:tc>
      </w:tr>
      <w:tr>
        <w:tc>
          <w:tcPr>
            <w:tcW w:type="dxa" w:w="15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协同</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零售客户拉新数(他行转入)</w:t>
            </w:r>
          </w:p>
        </w:tc>
        <w:tc>
          <w:tcPr>
            <w:tcW w:type="dxa" w:w="51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≥3万户</w:t>
            </w:r>
          </w:p>
        </w:tc>
      </w:tr>
    </w:tbl>
    <w:p>
      <w:r>
        <w:rPr>
          <w:rFonts w:ascii="等线" w:cs="等线" w:eastAsia="等线" w:hAnsi="等线"/>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12"/>
              <w:bottom w:val="single" w:color="2E74B5" w:sz="4"/>
              <w:right w:val="single" w:color="2E74B5" w:sz="4"/>
            </w:tcBorders>
            <w:shd w:fill="DEEBF7" w:val="clear"/>
            <w:tcMar>
              <w:top w:type="dxa" w:w="160"/>
              <w:left w:type="dxa" w:w="200"/>
              <w:bottom w:type="dxa" w:w="160"/>
              <w:right w:type="dxa" w:w="200"/>
            </w:tcMar>
          </w:tcPr>
          <w:p>
            <w:pPr>
              <w:spacing w:line="340"/>
            </w:pPr>
            <w:r>
              <w:rPr>
                <w:rFonts w:ascii="等线" w:cs="等线" w:eastAsia="等线" w:hAnsi="等线"/>
                <w:sz w:val="22"/>
                <w:szCs w:val="22"/>
              </w:rPr>
              <w:t xml:space="preserve">KPI设计的核心理念是:规模指标确保业务增长动能,质量指标守住风险底线,协同指标体现产品的隐性战略价值。三类指标在内部考核中应当并重,不能让规模指标单独驱动,否则会重蹈历史上类似产品的覆辙。</w:t>
            </w:r>
          </w:p>
        </w:tc>
      </w:tr>
    </w:tbl>
    <w:p>
      <w:r>
        <w:br w:type="page"/>
      </w:r>
    </w:p>
    <w:p>
      <w:pPr>
        <w:pStyle w:val="Heading1"/>
        <w:spacing w:after="200" w:before="360"/>
      </w:pPr>
      <w:r>
        <w:rPr>
          <w:rFonts w:ascii="等线" w:cs="等线" w:eastAsia="等线" w:hAnsi="等线"/>
          <w:b/>
          <w:bCs/>
          <w:color w:val="1F3864"/>
          <w:sz w:val="32"/>
          <w:szCs w:val="32"/>
        </w:rPr>
        <w:t xml:space="preserve">附  录</w:t>
      </w:r>
    </w:p>
    <w:p>
      <w:pPr>
        <w:pStyle w:val="Heading2"/>
        <w:spacing w:after="160" w:before="280"/>
      </w:pPr>
      <w:r>
        <w:rPr>
          <w:rFonts w:ascii="等线" w:cs="等线" w:eastAsia="等线" w:hAnsi="等线"/>
          <w:b/>
          <w:bCs/>
          <w:color w:val="2E74B5"/>
          <w:sz w:val="26"/>
          <w:szCs w:val="26"/>
        </w:rPr>
        <w:t xml:space="preserve">附录A  数字测算明细</w:t>
      </w:r>
    </w:p>
    <w:p>
      <w:pPr>
        <w:spacing w:after="120" w:before="120" w:line="360"/>
        <w:jc w:val="both"/>
      </w:pPr>
      <w:r>
        <w:rPr>
          <w:rFonts w:ascii="等线" w:cs="等线" w:eastAsia="等线" w:hAnsi="等线"/>
          <w:b w:val="false"/>
          <w:bCs w:val="false"/>
          <w:color w:val="000000"/>
          <w:sz w:val="22"/>
          <w:szCs w:val="22"/>
        </w:rPr>
        <w:t xml:space="preserve">市场规模测算的核心假设和敏感性分析如下: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假设变量</w:t>
            </w:r>
          </w:p>
        </w:tc>
        <w:tc>
          <w:tcPr>
            <w:tcW w:type="dxa" w:w="30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取值范围</w:t>
            </w:r>
          </w:p>
        </w:tc>
        <w:tc>
          <w:tcPr>
            <w:tcW w:type="dxa" w:w="30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敏感性说明</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江苏省机构化房源</w:t>
            </w:r>
          </w:p>
        </w:tc>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80-90万套</w:t>
            </w:r>
          </w:p>
        </w:tc>
        <w:tc>
          <w:tcPr>
            <w:tcW w:type="dxa" w:w="30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每增加10万套增加规模约15%</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平均年租金</w:t>
            </w:r>
          </w:p>
        </w:tc>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3-5万元/套</w:t>
            </w:r>
          </w:p>
        </w:tc>
        <w:tc>
          <w:tcPr>
            <w:tcW w:type="dxa" w:w="30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每增加1万元增加规模约25%</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渗透率</w:t>
            </w:r>
          </w:p>
        </w:tc>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15-30%</w:t>
            </w:r>
          </w:p>
        </w:tc>
        <w:tc>
          <w:tcPr>
            <w:tcW w:type="dxa" w:w="30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每提升5个点增加规模约25%</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利率水平</w:t>
            </w:r>
          </w:p>
        </w:tc>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3.5%(锁定)</w:t>
            </w:r>
          </w:p>
        </w:tc>
        <w:tc>
          <w:tcPr>
            <w:tcW w:type="dxa" w:w="30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通过前端预扣固定</w:t>
            </w:r>
          </w:p>
        </w:tc>
      </w:tr>
      <w:tr>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对公存款沉淀率</w:t>
            </w:r>
          </w:p>
        </w:tc>
        <w:tc>
          <w:tcPr>
            <w:tcW w:type="dxa" w:w="30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30%(估算)</w:t>
            </w:r>
          </w:p>
        </w:tc>
        <w:tc>
          <w:tcPr>
            <w:tcW w:type="dxa" w:w="30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实际取决于业主资金管理水平</w:t>
            </w:r>
          </w:p>
        </w:tc>
      </w:tr>
    </w:tbl>
    <w:p>
      <w:r>
        <w:rPr>
          <w:rFonts w:ascii="等线" w:cs="等线" w:eastAsia="等线" w:hAnsi="等线"/>
        </w:rPr>
        <w:t xml:space="preserve"/>
      </w:r>
    </w:p>
    <w:p>
      <w:pPr>
        <w:pStyle w:val="Heading2"/>
        <w:spacing w:after="160" w:before="280"/>
      </w:pPr>
      <w:r>
        <w:rPr>
          <w:rFonts w:ascii="等线" w:cs="等线" w:eastAsia="等线" w:hAnsi="等线"/>
          <w:b/>
          <w:bCs/>
          <w:color w:val="2E74B5"/>
          <w:sz w:val="26"/>
          <w:szCs w:val="26"/>
        </w:rPr>
        <w:t xml:space="preserve">附录B  关键法规清单</w:t>
      </w:r>
    </w:p>
    <w:p>
      <w:pPr>
        <w:pStyle w:val="ListParagraph"/>
        <w:numPr>
          <w:ilvl w:val="0"/>
          <w:numId w:val="2"/>
        </w:numPr>
        <w:spacing w:after="80" w:before="80" w:line="340"/>
      </w:pPr>
      <w:r>
        <w:rPr>
          <w:rFonts w:ascii="等线" w:cs="等线" w:eastAsia="等线" w:hAnsi="等线"/>
          <w:sz w:val="22"/>
          <w:szCs w:val="22"/>
        </w:rPr>
        <w:t xml:space="preserve">《关于加强住房租赁市场监管的意见》(2021年,住建部等六部委)</w:t>
      </w:r>
    </w:p>
    <w:p>
      <w:pPr>
        <w:pStyle w:val="ListParagraph"/>
        <w:numPr>
          <w:ilvl w:val="0"/>
          <w:numId w:val="2"/>
        </w:numPr>
        <w:spacing w:after="80" w:before="80" w:line="340"/>
      </w:pPr>
      <w:r>
        <w:rPr>
          <w:rFonts w:ascii="等线" w:cs="等线" w:eastAsia="等线" w:hAnsi="等线"/>
          <w:sz w:val="22"/>
          <w:szCs w:val="22"/>
        </w:rPr>
        <w:t xml:space="preserve">《住房租赁条例》(2025年9月正式实施)</w:t>
      </w:r>
    </w:p>
    <w:p>
      <w:pPr>
        <w:pStyle w:val="ListParagraph"/>
        <w:numPr>
          <w:ilvl w:val="0"/>
          <w:numId w:val="2"/>
        </w:numPr>
        <w:spacing w:after="80" w:before="80" w:line="340"/>
      </w:pPr>
      <w:r>
        <w:rPr>
          <w:rFonts w:ascii="等线" w:cs="等线" w:eastAsia="等线" w:hAnsi="等线"/>
          <w:sz w:val="22"/>
          <w:szCs w:val="22"/>
        </w:rPr>
        <w:t xml:space="preserve">《关于金融支持住房租赁市场发展的意见》(2024年,央行/银保监会)</w:t>
      </w:r>
    </w:p>
    <w:p>
      <w:pPr>
        <w:pStyle w:val="ListParagraph"/>
        <w:numPr>
          <w:ilvl w:val="0"/>
          <w:numId w:val="2"/>
        </w:numPr>
        <w:spacing w:after="80" w:before="80" w:line="340"/>
      </w:pPr>
      <w:r>
        <w:rPr>
          <w:rFonts w:ascii="等线" w:cs="等线" w:eastAsia="等线" w:hAnsi="等线"/>
          <w:sz w:val="22"/>
          <w:szCs w:val="22"/>
        </w:rPr>
        <w:t xml:space="preserve">《商业银行互联网贷款管理办法》(银保监会)</w:t>
      </w:r>
    </w:p>
    <w:p>
      <w:pPr>
        <w:pStyle w:val="ListParagraph"/>
        <w:numPr>
          <w:ilvl w:val="0"/>
          <w:numId w:val="2"/>
        </w:numPr>
        <w:spacing w:after="80" w:before="80" w:line="340"/>
      </w:pPr>
      <w:r>
        <w:rPr>
          <w:rFonts w:ascii="等线" w:cs="等线" w:eastAsia="等线" w:hAnsi="等线"/>
          <w:sz w:val="22"/>
          <w:szCs w:val="22"/>
        </w:rPr>
        <w:t xml:space="preserve">《消费金融公司管理办法》(银保监会)</w:t>
      </w:r>
    </w:p>
    <w:p>
      <w:pPr>
        <w:pStyle w:val="ListParagraph"/>
        <w:numPr>
          <w:ilvl w:val="0"/>
          <w:numId w:val="2"/>
        </w:numPr>
        <w:spacing w:after="80" w:before="80" w:line="340"/>
      </w:pPr>
      <w:r>
        <w:rPr>
          <w:rFonts w:ascii="等线" w:cs="等线" w:eastAsia="等线" w:hAnsi="等线"/>
          <w:sz w:val="22"/>
          <w:szCs w:val="22"/>
        </w:rPr>
        <w:t xml:space="preserve">《个人贷款管理暂行办法》(银保监会)</w:t>
      </w:r>
    </w:p>
    <w:p>
      <w:pPr>
        <w:pStyle w:val="ListParagraph"/>
        <w:numPr>
          <w:ilvl w:val="0"/>
          <w:numId w:val="2"/>
        </w:numPr>
        <w:spacing w:after="80" w:before="80" w:line="340"/>
      </w:pPr>
      <w:r>
        <w:rPr>
          <w:rFonts w:ascii="等线" w:cs="等线" w:eastAsia="等线" w:hAnsi="等线"/>
          <w:sz w:val="22"/>
          <w:szCs w:val="22"/>
        </w:rPr>
        <w:t xml:space="preserve">《最高人民法院关于审理民间借贷案件适用法律若干问题的规定》(LPR四倍上限)</w:t>
      </w:r>
    </w:p>
    <w:p>
      <w:pPr>
        <w:pStyle w:val="Heading2"/>
        <w:spacing w:after="160" w:before="280"/>
      </w:pPr>
      <w:r>
        <w:rPr>
          <w:rFonts w:ascii="等线" w:cs="等线" w:eastAsia="等线" w:hAnsi="等线"/>
          <w:b/>
          <w:bCs/>
          <w:color w:val="2E74B5"/>
          <w:sz w:val="26"/>
          <w:szCs w:val="26"/>
        </w:rPr>
        <w:t xml:space="preserve">附录C  目标合作业主清单示例</w:t>
      </w:r>
    </w:p>
    <w:p>
      <w:pPr>
        <w:spacing w:after="120" w:before="120" w:line="360"/>
        <w:jc w:val="both"/>
      </w:pPr>
      <w:r>
        <w:rPr>
          <w:rFonts w:ascii="等线" w:cs="等线" w:eastAsia="等线" w:hAnsi="等线"/>
          <w:b w:val="false"/>
          <w:bCs w:val="false"/>
          <w:color w:val="000000"/>
          <w:sz w:val="22"/>
          <w:szCs w:val="22"/>
        </w:rPr>
        <w:t xml:space="preserve">以下为第一阶段试点期建议优先接触的合作业主示例(实际接入需经独立尽调):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合作方</w:t>
            </w:r>
          </w:p>
        </w:tc>
        <w:tc>
          <w:tcPr>
            <w:tcW w:type="dxa" w:w="2400"/>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类型</w:t>
            </w:r>
          </w:p>
        </w:tc>
        <w:tc>
          <w:tcPr>
            <w:tcW w:type="dxa" w:w="4226"/>
            <w:tcBorders>
              <w:top w:val="single" w:color="8FAADC" w:sz="4"/>
              <w:left w:val="single" w:color="8FAADC" w:sz="4"/>
              <w:bottom w:val="single" w:color="8FAADC" w:sz="4"/>
              <w:right w:val="single" w:color="8FAADC" w:sz="4"/>
            </w:tcBorders>
            <w:shd w:fill="1F3864" w:val="clear"/>
            <w:tcMar>
              <w:top w:type="dxa" w:w="100"/>
              <w:left w:type="dxa" w:w="140"/>
              <w:bottom w:type="dxa" w:w="100"/>
              <w:right w:type="dxa" w:w="140"/>
            </w:tcMar>
            <w:vAlign w:val="center"/>
          </w:tcPr>
          <w:p>
            <w:pPr>
              <w:spacing w:line="300"/>
              <w:jc w:val="center"/>
            </w:pPr>
            <w:r>
              <w:rPr>
                <w:rFonts w:ascii="等线" w:cs="等线" w:eastAsia="等线" w:hAnsi="等线"/>
                <w:b/>
                <w:bCs/>
                <w:color w:val="FFFFFF"/>
                <w:sz w:val="20"/>
                <w:szCs w:val="20"/>
              </w:rPr>
              <w:t xml:space="preserve">建议合作切入点</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朗诗寓</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品牌长租公寓TOP1(南京本土)</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全省战略合作框架协议</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东南青年汇</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南京国资系长租公寓</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国央企业主优先接入</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银城佳寓</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南京本土品牌公寓</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本土品牌差异化合作</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自如(江苏)</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全国TOP品牌长租公寓</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省内房源专项合作</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龙湖冠寓(苏州)</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全国TOP品牌长租公寓</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苏州、无锡市场切入</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招商伊敦(南京)</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央企背景租赁平台</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央企综合金融服务</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贝壳省心租</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中介托管平台</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中介托管房源专项产品</w:t>
            </w:r>
          </w:p>
        </w:tc>
      </w:tr>
      <w:tr>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各地市国企租赁平台</w:t>
            </w:r>
          </w:p>
        </w:tc>
        <w:tc>
          <w:tcPr>
            <w:tcW w:type="dxa" w:w="2400"/>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地方政府租赁平台</w:t>
            </w:r>
          </w:p>
        </w:tc>
        <w:tc>
          <w:tcPr>
            <w:tcW w:type="dxa" w:w="4226"/>
            <w:tcBorders>
              <w:top w:val="single" w:color="8FAADC" w:sz="4"/>
              <w:left w:val="single" w:color="8FAADC" w:sz="4"/>
              <w:bottom w:val="single" w:color="8FAADC" w:sz="4"/>
              <w:right w:val="single" w:color="8FAADC" w:sz="4"/>
            </w:tcBorders>
            <w:tcMar>
              <w:top w:type="dxa" w:w="100"/>
              <w:left w:type="dxa" w:w="140"/>
              <w:bottom w:type="dxa" w:w="100"/>
              <w:right w:type="dxa" w:w="140"/>
            </w:tcMar>
            <w:vAlign w:val="center"/>
          </w:tcPr>
          <w:p>
            <w:pPr>
              <w:spacing w:line="300"/>
              <w:jc w:val="left"/>
            </w:pPr>
            <w:r>
              <w:rPr>
                <w:rFonts w:ascii="等线" w:cs="等线" w:eastAsia="等线" w:hAnsi="等线"/>
                <w:b w:val="false"/>
                <w:bCs w:val="false"/>
                <w:color w:val="000000"/>
                <w:sz w:val="20"/>
                <w:szCs w:val="20"/>
              </w:rPr>
              <w:t xml:space="preserve">通过分行属地化对接</w:t>
            </w:r>
          </w:p>
        </w:tc>
      </w:tr>
    </w:tbl>
    <w:p>
      <w:r>
        <w:rPr>
          <w:rFonts w:ascii="等线" w:cs="等线" w:eastAsia="等线" w:hAnsi="等线"/>
        </w:rPr>
        <w:t xml:space="preserve"/>
      </w:r>
    </w:p>
    <w:p>
      <w:pPr>
        <w:pStyle w:val="Heading2"/>
        <w:spacing w:after="160" w:before="280"/>
      </w:pPr>
      <w:r>
        <w:rPr>
          <w:rFonts w:ascii="等线" w:cs="等线" w:eastAsia="等线" w:hAnsi="等线"/>
          <w:b/>
          <w:bCs/>
          <w:color w:val="2E74B5"/>
          <w:sz w:val="26"/>
          <w:szCs w:val="26"/>
        </w:rPr>
        <w:t xml:space="preserve">附录D  报告说明</w:t>
      </w:r>
    </w:p>
    <w:p>
      <w:pPr>
        <w:spacing w:after="120" w:before="120" w:line="360"/>
        <w:jc w:val="both"/>
      </w:pPr>
      <w:r>
        <w:rPr>
          <w:rFonts w:ascii="等线" w:cs="等线" w:eastAsia="等线" w:hAnsi="等线"/>
          <w:b w:val="false"/>
          <w:bCs w:val="false"/>
          <w:color w:val="000000"/>
          <w:sz w:val="22"/>
          <w:szCs w:val="22"/>
        </w:rPr>
        <w:t xml:space="preserve">本报告基于江苏银行房租贷v2产品方案、公开行业数据、监管政策文件、同业产品调研编制,旨在为产品立项决策、推广路径设计、风险合规管理提供参考。报告中的市场规模测算、KPI目标值等数据为基于一定假设的估算,实际执行中需根据市场情况动态调整。</w:t>
      </w:r>
    </w:p>
    <w:p>
      <w:pPr>
        <w:spacing w:after="120" w:before="120" w:line="360"/>
        <w:jc w:val="both"/>
      </w:pPr>
      <w:r>
        <w:rPr>
          <w:rFonts w:ascii="等线" w:cs="等线" w:eastAsia="等线" w:hAnsi="等线"/>
          <w:b w:val="false"/>
          <w:bCs w:val="false"/>
          <w:color w:val="000000"/>
          <w:sz w:val="22"/>
          <w:szCs w:val="22"/>
        </w:rPr>
        <w:t xml:space="preserve">报告版本:综合版 v1.0</w:t>
      </w:r>
    </w:p>
    <w:p>
      <w:pPr>
        <w:spacing w:after="120" w:before="120" w:line="360"/>
        <w:jc w:val="both"/>
      </w:pPr>
      <w:r>
        <w:rPr>
          <w:rFonts w:ascii="等线" w:cs="等线" w:eastAsia="等线" w:hAnsi="等线"/>
          <w:b w:val="false"/>
          <w:bCs w:val="false"/>
          <w:color w:val="000000"/>
          <w:sz w:val="22"/>
          <w:szCs w:val="22"/>
        </w:rPr>
        <w:t xml:space="preserve">编制日期:2026年5月</w:t>
      </w:r>
    </w:p>
    <w:p>
      <w:pPr>
        <w:spacing w:after="120" w:before="120" w:line="360"/>
        <w:jc w:val="both"/>
      </w:pPr>
      <w:r>
        <w:rPr>
          <w:rFonts w:ascii="等线" w:cs="等线" w:eastAsia="等线" w:hAnsi="等线"/>
          <w:b w:val="false"/>
          <w:bCs w:val="false"/>
          <w:color w:val="000000"/>
          <w:sz w:val="22"/>
          <w:szCs w:val="22"/>
        </w:rPr>
        <w:t xml:space="preserve">适用对象:行领导决策汇报、产品委员会立项审议、业务条线推广执行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等线" w:cs="等线" w:eastAsia="等线" w:hAnsi="等线"/>
        <w:color w:val="595959"/>
        <w:sz w:val="18"/>
        <w:szCs w:val="18"/>
      </w:rPr>
      <w:t xml:space="preserve">— </w:t>
    </w:r>
    <w:r>
      <w:rPr>
        <w:rFonts w:ascii="等线" w:cs="等线" w:eastAsia="等线" w:hAnsi="等线"/>
        <w:color w:val="595959"/>
        <w:sz w:val="18"/>
        <w:szCs w:val="18"/>
      </w:rPr>
      <w:fldChar w:fldCharType="begin"/>
      <w:instrText xml:space="preserve">PAGE</w:instrText>
      <w:fldChar w:fldCharType="separate"/>
      <w:fldChar w:fldCharType="end"/>
    </w:r>
    <w:r>
      <w:rPr>
        <w:rFonts w:ascii="等线" w:cs="等线" w:eastAsia="等线" w:hAnsi="等线"/>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等线" w:cs="等线" w:eastAsia="等线" w:hAnsi="等线"/>
        <w:color w:val="595959"/>
        <w:sz w:val="18"/>
        <w:szCs w:val="18"/>
      </w:rPr>
      <w:t xml:space="preserve">江苏银行房租贷产品战略报告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cs="等线" w:eastAsia="等线" w:hAnsi="等线"/>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等线" w:cs="等线" w:eastAsia="等线" w:hAnsi="等线"/>
      <w:b/>
      <w:bCs/>
      <w:color w:val="1F3864"/>
      <w:sz w:val="32"/>
      <w:szCs w:val="32"/>
    </w:rPr>
  </w:style>
  <w:style w:type="paragraph" w:styleId="Heading2">
    <w:name w:val="Heading 2"/>
    <w:basedOn w:val="Normal"/>
    <w:next w:val="Normal"/>
    <w:qFormat/>
    <w:pPr>
      <w:spacing w:after="160" w:before="280"/>
      <w:outlineLvl w:val="1"/>
    </w:pPr>
    <w:rPr>
      <w:rFonts w:ascii="等线" w:cs="等线" w:eastAsia="等线" w:hAnsi="等线"/>
      <w:b/>
      <w:bCs/>
      <w:color w:val="2E74B5"/>
      <w:sz w:val="26"/>
      <w:szCs w:val="26"/>
    </w:rPr>
  </w:style>
  <w:style w:type="paragraph" w:styleId="Heading3">
    <w:name w:val="Heading 3"/>
    <w:basedOn w:val="Normal"/>
    <w:next w:val="Normal"/>
    <w:qFormat/>
    <w:pPr>
      <w:spacing w:after="120" w:before="200"/>
      <w:outlineLvl w:val="2"/>
    </w:pPr>
    <w:rPr>
      <w:rFonts w:ascii="等线" w:cs="等线" w:eastAsia="等线" w:hAnsi="等线"/>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江苏银行房租贷产品战略报告</dc:title>
  <dc:creator>江苏银行产品分析团队</dc:creator>
  <cp:lastModifiedBy>Un-named</cp:lastModifiedBy>
  <cp:revision>1</cp:revision>
  <dcterms:created xsi:type="dcterms:W3CDTF">2026-05-12T13:56:38.020Z</dcterms:created>
  <dcterms:modified xsi:type="dcterms:W3CDTF">2026-05-12T13:56:38.020Z</dcterms:modified>
</cp:coreProperties>
</file>

<file path=docProps/custom.xml><?xml version="1.0" encoding="utf-8"?>
<Properties xmlns="http://schemas.openxmlformats.org/officeDocument/2006/custom-properties" xmlns:vt="http://schemas.openxmlformats.org/officeDocument/2006/docPropsVTypes"/>
</file>