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jfif" ContentType="image/jpeg"/>
  <Default Extension="gif" ContentType="image/gif"/>
  <Default Extension="bmp" ContentType="image/bmp"/>
  <Default Extension="svg" ContentType="image/svg+xml"/>
  <Default Extension="wmf" ContentType="image/x-wmf"/>
  <Default Extension="emf" ContentType="image/x-emf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>江苏银行信用卡提质增效经营策略 · 核心结论（V1.1 高级版浓缩）</w:t>
      </w:r>
    </w:p>
    <w:p>
      <w:pPr>
        <w:rPr>
          <w:color w:val="213A33"/>
          <w:b/>
        </w:rPr>
      </w:pPr>
      <w:r>
        <w:rPr>
          <w:color w:val="213A33"/>
          <w:b/>
        </w:rPr>
        <w:t>一、现状诊断</w:t>
      </w:r>
    </w:p>
    <w:p>
      <w:r>
        <w:t>存量整体亏损：2026H1 年化每有效卡 -153 元/年；营业净收入 2024→2026H1 累计 -57.28%（年化）；EVA 收益率 -2.85%（E2 可复算）</w:t>
      </w:r>
    </w:p>
    <w:p>
      <w:r>
        <w:t>存量失活：30 天活跃率 26.1%（低区域行 18.8pp）、激活率 60.39%、90 天睡眠率 69.95%</w:t>
      </w:r>
    </w:p>
    <w:p>
      <w:r>
        <w:t>收入结构单一：分期息费 65.7% + 利息 28.5%，佣金仅 1.85%（区域行 9.06%）</w:t>
      </w:r>
    </w:p>
    <w:p>
      <w:r>
        <w:t>风险上行：不良率 3.41%（较年初 +1.25pp）、损失率 2.56%、透支余额同比 -36.14%</w:t>
      </w:r>
    </w:p>
    <w:p>
      <w:pPr>
        <w:rPr>
          <w:color w:val="213A33"/>
          <w:b/>
        </w:rPr>
      </w:pPr>
      <w:r>
        <w:rPr>
          <w:color w:val="213A33"/>
          <w:b/>
        </w:rPr>
        <w:t>二、四指标杠杆排序（E4 情景，非利润预测）</w:t>
      </w:r>
    </w:p>
    <w:p>
      <w:r>
        <w:t>CAC 管控 &gt; 客群风险（坏账率）&gt; 分期深度 &gt; 单卡消费量</w:t>
      </w:r>
    </w:p>
    <w:p>
      <w:r>
        <w:t>盈亏平衡 CAC ≈ 24 元/卡；坏账率上限 ≈ 4.15%（距当前 0.74pp）</w:t>
      </w:r>
    </w:p>
    <w:p>
      <w:r>
        <w:t>坏账率 +1pp ≈ -33~-55 元/卡，约为消费提升收益的 10 倍；单卡消费 +100 元/月仅 +1.2~+7.3 元/卡</w:t>
      </w:r>
    </w:p>
    <w:p>
      <w:pPr>
        <w:rPr>
          <w:color w:val="213A33"/>
          <w:b/>
        </w:rPr>
      </w:pPr>
      <w:r>
        <w:rPr>
          <w:color w:val="213A33"/>
          <w:b/>
        </w:rPr>
        <w:t>三、产品组合：增 / 并 / 退</w:t>
      </w:r>
    </w:p>
    <w:p>
      <w:pPr>
        <w:rPr>
          <w:color w:val="213A33"/>
          <w:b/>
        </w:rPr>
      </w:pPr>
      <w:r>
        <w:rPr>
          <w:color w:val="213A33"/>
          <w:b/>
        </w:rPr>
        <w:t>增（引擎与入口）</w:t>
      </w:r>
    </w:p>
    <w:p>
      <w:r>
        <w:t>主题卡（透支 77%/收入 76%）、单位卡（活跃 41.9%/不良 0.70% 最优）、标准卡（风控后）</w:t>
      </w:r>
    </w:p>
    <w:p>
      <w:pPr>
        <w:rPr>
          <w:color w:val="213A33"/>
          <w:b/>
        </w:rPr>
      </w:pPr>
      <w:r>
        <w:rPr>
          <w:color w:val="213A33"/>
          <w:b/>
        </w:rPr>
        <w:t>并（去重复补贴）</w:t>
      </w:r>
    </w:p>
    <w:p>
      <w:r>
        <w:t>金卡 A/B、无界家族（≈82 万张）、电商双联名并表核算</w:t>
      </w:r>
    </w:p>
    <w:p>
      <w:pPr>
        <w:rPr>
          <w:color w:val="213A33"/>
          <w:b/>
        </w:rPr>
      </w:pPr>
      <w:r>
        <w:rPr>
          <w:color w:val="213A33"/>
          <w:b/>
        </w:rPr>
        <w:t>退（风险限额与处置）</w:t>
      </w:r>
    </w:p>
    <w:p>
      <w:r>
        <w:t>E融卡（不良 26.06%）专项处置、分期卡类（11.27%）限额、联名卡（39.3% 卡量仅 7.7% 收入）降权益/盘活</w:t>
      </w:r>
    </w:p>
    <w:p>
      <w:pPr>
        <w:rPr>
          <w:color w:val="213A33"/>
          <w:b/>
        </w:rPr>
      </w:pPr>
      <w:r>
        <w:rPr>
          <w:color w:val="213A33"/>
          <w:b/>
        </w:rPr>
        <w:t>四、高端卡专项：1 + 2 + 1（r3 修正后，可复算）</w:t>
      </w:r>
    </w:p>
    <w:p>
      <w:r>
        <w:t>1 境内底座·银联：零增量成本规模化（2026Q3 起）</w:t>
      </w:r>
    </w:p>
    <w:p>
      <w:r>
        <w:t>2 境外通用·VISA/万事达：套卡补位（财私/留学/商旅）+ AI 卡探索（NUCC 已持牌）</w:t>
      </w:r>
    </w:p>
    <w:p>
      <w:r>
        <w:t>1 高端旗舰·运通蓝盒子：试点 1,200-2,000 张、3,600 元档、银数通道；2026 年内签约（首年减免窗口）</w:t>
      </w:r>
    </w:p>
    <w:p>
      <w:r>
        <w:t>3 年回本阈值 ≥635 张；LTV3/5/7 = 1,564/2,936/3,889 元；综合 NPV3 基准 1,200 张 +21 万 / 2,000 张 +146 万</w:t>
      </w:r>
    </w:p>
    <w:p>
      <w:r>
        <w:t>第一敏感变量：年费留存率（40%→80%：阈值 924→483 张）</w:t>
      </w:r>
    </w:p>
    <w:p>
      <w:pPr>
        <w:rPr>
          <w:color w:val="213A33"/>
          <w:b/>
        </w:rPr>
      </w:pPr>
      <w:r>
        <w:rPr>
          <w:color w:val="213A33"/>
          <w:b/>
        </w:rPr>
        <w:t>五、财务决策与试点</w:t>
      </w:r>
    </w:p>
    <w:p>
      <w:r>
        <w:t>CAC 分层：存量 ≤24 元、优质客群 &lt;70 元、高端卡用综合贡献口径（VISA 境外客群人均 EVA 3,207 元/年）</w:t>
      </w:r>
    </w:p>
    <w:p>
      <w:r>
        <w:t>补贴 5 规则：绑定增量活跃/消费/分期，对照组验证，睡眠卡不补贴，权益预算年度总闸</w:t>
      </w:r>
    </w:p>
    <w:p>
      <w:r>
        <w:t>试点三步：先规模化双网络 → 小样本旗舰试点 → 风险收益扩围</w:t>
      </w:r>
    </w:p>
    <w:p>
      <w:r>
        <w:t>监测触发器 T1-T5：CAC&gt;100 暂停获客、坏账率&gt;4.15% 收紧授信、分期率连 2 季&lt;20% 检查、活跃率&lt;26% 复盘、高端卡留存&lt;60% 复盘客群</w:t>
      </w:r>
    </w:p>
    <w:p>
      <w:pPr>
        <w:rPr>
          <w:color w:val="213A33"/>
          <w:b/>
        </w:rPr>
      </w:pPr>
      <w:r>
        <w:rPr>
          <w:color w:val="213A33"/>
          <w:b/>
        </w:rPr>
        <w:t>六、数据与口径纪律</w:t>
      </w:r>
    </w:p>
    <w:p>
      <w:r>
        <w:t>7 项 P0 数据待补（CAC/权益核销/切片明细/运营分摊/回收/FTP 口径/飞书对标表）；待补不当作 0</w:t>
      </w:r>
    </w:p>
    <w:p>
      <w:r>
        <w:t>2026H1 与全年不可直接比较；银联分期渗透率 ≠ 交易/余额分期率；2016-2018 同业与 2026 仅参照方向</w:t>
      </w:r>
    </w:p>
    <w:p>
      <w:pPr>
        <w:rPr>
          <w:color w:val="8A97AB"/>
          <w:i/>
        </w:rPr>
      </w:pPr>
      <w:r>
        <w:rPr>
          <w:color w:val="8A97AB"/>
          <w:i/>
        </w:rPr>
        <w:t>证据等级：E0 内部明细 / E1 年报公告 / E2 访谈复盘 / E3 可靠二手 / E4 假设。全部数字可追溯至 01-05 交付物及原资料。</w:t>
      </w:r>
    </w:p>
    <w:sectPr>
      <w:pgSz w:w="14400" w:h="16840"/>
      <w:pgMar w:top="750" w:right="750" w:bottom="750" w:left="750" w:header="450" w:footer="45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0" w:after="180" w:line="36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Company>Univer.ai</Company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策略报告核心结论</dc:title>
  <dc:creator/>
  <cp:lastModifiedBy/>
  <dcterms:created xsi:type="dcterms:W3CDTF">2026-01-01T00:00:00Z</dcterms:created>
  <dcterms:modified xsi:type="dcterms:W3CDTF">2026-01-01T00:00:00Z</dcterms:modified>
</cp:coreProperties>
</file>