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jfif" ContentType="image/jpeg"/>
  <Default Extension="gif" ContentType="image/gif"/>
  <Default Extension="bmp" ContentType="image/bmp"/>
  <Default Extension="svg" ContentType="image/svg+xml"/>
  <Default Extension="wmf" ContentType="image/x-wmf"/>
  <Default Extension="emf" ContentType="image/x-emf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p>
      <w:pPr>
        <w:spacing w:before="90" w:after="180" w:line="312"/>
        <w:jc w:val="center"/>
        <w:keepNext/>
        <w:rPr>
          <w:rFonts w:ascii="宋体" w:eastAsia="宋体" w:hAnsi="宋体"/>
          <w:sz w:val="44"/>
          <w:color w:val="1A3A5C"/>
          <w:b/>
        </w:rPr>
      </w:pPr>
      <w:r>
        <w:rPr>
          <w:rFonts w:ascii="宋体" w:eastAsia="宋体" w:hAnsi="宋体" w:hint="eastAsia"/>
          <w:sz w:val="44"/>
          <w:color w:val="1A3A5C"/>
          <w:b/>
        </w:rPr>
        <w:t>江苏银行经营情况介绍暨宠物场景合作交流材料</w:t>
      </w:r>
    </w:p>
    <w:p>
      <w:pPr>
        <w:spacing w:after="60" w:line="312"/>
        <w:jc w:val="center"/>
        <w:rPr>
          <w:rFonts w:ascii="楷体" w:eastAsia="楷体" w:hAnsi="楷体"/>
          <w:sz w:val="28"/>
          <w:color w:val="404040"/>
        </w:rPr>
      </w:pPr>
      <w:r>
        <w:rPr>
          <w:rFonts w:ascii="楷体" w:eastAsia="楷体" w:hAnsi="楷体" w:hint="eastAsia"/>
          <w:sz w:val="28"/>
          <w:color w:val="404040"/>
        </w:rPr>
        <w:t>——欢迎天元宠物股份有限公司莅临交流</w:t>
      </w:r>
    </w:p>
    <w:p>
      <w:pPr>
        <w:spacing w:after="60" w:line="288"/>
        <w:jc w:val="center"/>
        <w:rPr>
          <w:rFonts w:ascii="楷体" w:eastAsia="楷体" w:hAnsi="楷体"/>
          <w:sz w:val="22"/>
          <w:color w:val="808080"/>
          <w:i/>
        </w:rPr>
      </w:pPr>
      <w:r>
        <w:rPr>
          <w:rFonts w:ascii="楷体" w:eastAsia="楷体" w:hAnsi="楷体" w:hint="eastAsia"/>
          <w:sz w:val="22"/>
          <w:color w:val="808080"/>
          <w:i/>
        </w:rPr>
        <w:t>（内部资料 · 注意保密）</w:t>
      </w:r>
    </w:p>
    <w:p>
      <w:pPr>
        <w:spacing w:after="240" w:line="312"/>
        <w:jc w:val="center"/>
        <w:rPr>
          <w:rFonts w:ascii="仿宋" w:eastAsia="仿宋" w:hAnsi="仿宋"/>
          <w:sz w:val="24"/>
          <w:color w:val="595959"/>
        </w:rPr>
      </w:pPr>
      <w:r>
        <w:rPr>
          <w:rFonts w:ascii="仿宋" w:eastAsia="仿宋" w:hAnsi="仿宋" w:hint="eastAsia"/>
          <w:sz w:val="24"/>
          <w:color w:val="595959"/>
        </w:rPr>
        <w:t>江苏银行零售信贷部（宠物经济工作小组牵头部门）　　2026年8月</w:t>
      </w:r>
    </w:p>
    <w:p>
      <w:pPr>
        <w:spacing w:before="60" w:line="360"/>
        <w:rPr>
          <w:rFonts w:ascii="仿宋" w:eastAsia="仿宋" w:hAnsi="仿宋"/>
          <w:sz w:val="28"/>
          <w:b/>
        </w:rPr>
      </w:pPr>
      <w:r>
        <w:rPr>
          <w:rFonts w:ascii="仿宋" w:eastAsia="仿宋" w:hAnsi="仿宋" w:hint="eastAsia"/>
          <w:sz w:val="28"/>
          <w:b/>
        </w:rPr>
        <w:t>尊敬的天元宠物各位领导：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欢迎莅临江苏银行！天元宠物是我国宠物行业全品类覆盖的头部上市企业，深耕行业二十余年，在产品矩阵、国际品牌代理、全渠道网络和数字化运营方面积淀深厚。今年7月28日，双方围绕账户结算、苏超引流、私域共营、员工金融服务等方向进行了富有成效的首次交流，形成了广泛共识。为便于本次座谈高效推进，现将我行整体经营情况（基于最新披露的2026年半年度报告）、宠物线索客群数据分析情况介绍如下，并就下阶段宠物场景共建提出初步设想，供双方探讨。</w:t>
      </w:r>
    </w:p>
    <w:p>
      <w:pPr>
        <w:spacing w:before="210" w:after="90" w:line="312"/>
        <w:keepNext/>
        <w:rPr>
          <w:rFonts w:ascii="黑体" w:eastAsia="黑体" w:hAnsi="黑体"/>
          <w:sz w:val="32"/>
          <w:color w:val="1A3A5C"/>
        </w:rPr>
      </w:pPr>
      <w:r>
        <w:rPr>
          <w:rFonts w:ascii="黑体" w:eastAsia="黑体" w:hAnsi="黑体" w:hint="eastAsia"/>
          <w:sz w:val="32"/>
          <w:color w:val="1A3A5C"/>
        </w:rPr>
        <w:t>一、江苏银行整体情况介绍（基于2026年半年报）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2026年以来，面对复杂多变的外部经营环境，江苏银行坚持稳中求进，统筹推进规模、效益、质量协调发展，围绕实体经济所需与居民消费所盼持续发力，上半年主要经营指标保持良好态势。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（一）主要经营指标全景</w:t>
      </w:r>
    </w:p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表1　江苏银行2026年上半年主要经营指标</w:t>
      </w:r>
    </w:p>
    <w:tbl>
      <w:tblPr>
        <w:tblW w:w="6900" w:type="dxa"/>
        <w:jc w:val="left"/>
      </w:tblPr>
      <w:tblGrid>
        <w:gridCol w:w="1650"/>
        <w:gridCol w:w="2100"/>
        <w:gridCol w:w="1650"/>
        <w:gridCol w:w="150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指标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规模（6月末/上半年累计）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增幅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说明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资产总额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5.61万亿元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+13.79%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rPr>
                <w:rFonts w:ascii="宋体" w:eastAsia="宋体" w:hAnsi="宋体"/>
                <w:sz w:val="21"/>
              </w:rPr>
            </w:pP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各项存款余额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2.98万亿元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+17.39%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rPr>
                <w:rFonts w:ascii="宋体" w:eastAsia="宋体" w:hAnsi="宋体"/>
                <w:sz w:val="21"/>
              </w:rPr>
            </w:pP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各项贷款余额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2.77万亿元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+12.20%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rPr>
                <w:rFonts w:ascii="宋体" w:eastAsia="宋体" w:hAnsi="宋体"/>
                <w:sz w:val="21"/>
              </w:rPr>
            </w:pP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营业收入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489.52亿元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同比 +9.11%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增速环比提升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归母净利润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218.76亿元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同比 +8.09%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净利润228.12亿元、+8.32%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基本每股收益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1.13元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同比 +9.71%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rPr>
                <w:rFonts w:ascii="宋体" w:eastAsia="宋体" w:hAnsi="宋体"/>
                <w:sz w:val="21"/>
              </w:rPr>
            </w:pP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利息净收入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368.92亿元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同比 +12.00%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占营业收入75.4%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手续费及佣金净收入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31.94亿元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同比 +0.26%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收入端+11.9%，支出端+73.5%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不良贷款率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0.81%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-0.03个百分点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上市以来最优水平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拨备覆盖率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304.83%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-18.15个百分点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风险抵补能力充足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核心一级资本充足率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8.67%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较年初 -0.26个百分点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环比一季度末回升</w:t>
            </w:r>
          </w:p>
        </w:tc>
      </w:tr>
    </w:tbl>
    <w:p>
      <w:pPr>
        <w:spacing w:after="90" w:line="300"/>
        <w:jc w:val="center"/>
        <w:keepNext/>
        <w:rPr>
          <w:rFonts w:ascii="楷体" w:eastAsia="楷体" w:hAnsi="楷体"/>
          <w:sz w:val="21"/>
          <w:color w:val="595959"/>
        </w:rPr>
      </w:pPr>
      <w:r>
        <w:rPr>
          <w:rFonts w:ascii="楷体" w:eastAsia="楷体" w:hAnsi="楷体" w:hint="eastAsia"/>
          <w:sz w:val="21"/>
          <w:color w:val="595959"/>
        </w:rPr>
        <w:t>资料来源：《江苏银行股份有限公司2026年半年度报告》，下同。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（二）规模增长稳健，扩表动能充足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截至6月末，全行资产总额5.61万亿元，较年初增长13.79%；各项贷款余额2.77万亿元，较年初增长12.20%；各项存款余额2.98万亿元，较年初增长17.39%。与此同时，金融投资余额2.31万亿元、较年初增长19.50%，其中其他债权投资余额约9815亿元、较年初增长38.94%，绝大部分为债券投资，为利息净收入的双位数增长提供了有力支撑，“存贷+投资”双轮的扩表格局清晰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（三）效益稳中有升，负债成本持续压降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上半年实现营业收入489.52亿元，同比增长9.11%、增速环比提升；归母净利润218.76亿元，同比增长8.09%；基本每股收益1.13元，同比增长9.71%。利息净收入368.92亿元、同比增长12.00%，是营收增长的核心动力。手续费及佣金净收入31.94亿元、同比微增0.26%，其中收入端同比增长11.9%，财富代理类贡献突出（详见零售部分）。成本管控成效显现：上半年计息负债成本率同比下降约30BP、存款成本率下降约32BP，活期存款占比升至30%左右、较上年同期提高2.5个百分点；净息差1.64%，收窄幅度趋缓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（四）资产质量保持优异，资本水平总体充裕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6月末不良贷款率0.81%，较年初下降0.03个百分点，为上市以来最优水平；拨备覆盖率304.83%，风险抵补能力充足。核心一级资本充足率8.67%、一级资本充足率11.19%、资本充足率12.40%，较一季度末均有回升，集约式高质量发展路径清晰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（五）国资险资双增持，长期价值获市场认可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二季度，江苏省国金投资集团增持本行股份4.74亿股、持股比例升至2.58%，进入前十大股东；中国人寿持股比例由2.14%增至2.22%。地方国资与头部险资双双增持，体现出耐心资本对本行长期价值的信心。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（六）零售业务发展情况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零售业务是全行战略主赛道，上半年呈现“总量领先、结构向优、场景活跃”的发展特征，重点情况如下：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1．财富管理AUM稳居城商行首位。我行以“批量化、数智化、交易化”为转型抓手，打造覆盖全客群、全周期、全品类的财富管理服务体系。6月末零售AUM突破1.83万亿元，上半年增量超1900亿元，规模与增量均居城商行首位；其中代理手续费收入20.81亿元、同比增长25.44%，是手续费收入的主要贡献项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2．高净值客群快速成长。私人银行客户突破2万户、较年初增速超20%；私行AUM超2500亿元、较年初增速超20%，占零售AUM比重约14%。多层次、常态化的高净值客户陪伴活动体系初步成型。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3．客群与渠道基础厚实。零售客户总数超3300万户；手机银行月活跃用户800万以上；“苏银生活”平台月活约800万、年底目标冲击1000万，居城商行同类平台前列。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4．场景营销形成品牌效应。作为“苏超”联赛官方赞助商，我行将现象级体育IP转化为获客活客引擎；围绕汽车补贴、发票有奖、出境、宠物四大重点消费场景并叠加“车生活”生态，构建“四加一”场景经营格局——宠物正是本轮重点打造的新场景之一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5．零售信贷全品类协同发展。个人信贷资产管理规模5000多亿元，覆盖个人消费贷款（随e贷系列）、住房按揭、个人经营贷、信用卡全品类。信用卡产品创新走在同业前列，在省内率先推出AI主题信用卡，面向高净值客群的至尊钻石信用卡方案已经成型；上半年主动优化零售资产结构，更加聚焦优质场景、优质客群的信贷投放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综上，江苏银行已形成“大客群—大财富—大场景”的零售经营闭环：客群基础扎实、渠道触达广泛、金融工具箱完备，具备与头部产业伙伴共建消费生态的充分条件。</w:t>
      </w:r>
    </w:p>
    <w:p>
      <w:pPr>
        <w:spacing w:before="210" w:after="90" w:line="312"/>
        <w:keepNext/>
        <w:rPr>
          <w:rFonts w:ascii="黑体" w:eastAsia="黑体" w:hAnsi="黑体"/>
          <w:sz w:val="32"/>
          <w:color w:val="1A3A5C"/>
        </w:rPr>
      </w:pPr>
      <w:r>
        <w:rPr>
          <w:rFonts w:ascii="黑体" w:eastAsia="黑体" w:hAnsi="黑体" w:hint="eastAsia"/>
          <w:sz w:val="32"/>
          <w:color w:val="1A3A5C"/>
        </w:rPr>
        <w:t>二、我行宠物线索客群情况分析（基于行内数据）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为摸清宠物经济在我行的业务底数，由个贷部牵头、大数据部等协同，从产业端和个人端两个维度、四条线索对行内数据进行系统挖掘（个人端数据为今年以来口径，其余截至2026年6月末），形成《宠物场景分析》数据分析表。四条线索的挖掘口径分别为：一是商户线索，即易付通二级商户名称中包含“宠物”字样的商户；二是个人消费线索，即今年以来网联流水交易备注关键词含“宠物”的个人客户；三是对公授信线索，即三四级行业分类中含“宠物”的对公客户；四是个人经营贷线索，即行业分类含“宠物”的个人经营性贷款客户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（一）产业端：宠物类商户底数庞大，我行渗透率极低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易付通二级商户中名称含“宠物”的商户合计158,053户，其中企业类42,675户、个体工商户115,378户。按近半年交易金额分层情况如表2所示。</w:t>
      </w:r>
    </w:p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表2　易付通宠物类商户近半年交易金额分层（户）</w:t>
      </w:r>
    </w:p>
    <w:tbl>
      <w:tblPr>
        <w:tblW w:w="7050" w:type="dxa"/>
        <w:jc w:val="left"/>
      </w:tblPr>
      <w:tblGrid>
        <w:gridCol w:w="1110"/>
        <w:gridCol w:w="900"/>
        <w:gridCol w:w="825"/>
        <w:gridCol w:w="765"/>
        <w:gridCol w:w="765"/>
        <w:gridCol w:w="825"/>
        <w:gridCol w:w="780"/>
        <w:gridCol w:w="84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交易金额层级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商户总数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企业·纯新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企业·准新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企业·存量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个体·纯新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个体·准新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个体·存量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无交易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89,035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22,348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66,525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38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0～1万元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48,349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9,949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32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38,329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18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1万～5万元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10,907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4,115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6,764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5万～20万元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6,177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3,409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2,739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20万～100万元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2,958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2,119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826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100万元以上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627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546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合计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158,053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42,486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164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115,252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57</w:t>
            </w:r>
          </w:p>
        </w:tc>
      </w:tr>
    </w:tbl>
    <w:p>
      <w:pPr>
        <w:spacing w:after="90" w:line="300"/>
        <w:jc w:val="center"/>
        <w:keepNext/>
        <w:rPr>
          <w:rFonts w:ascii="楷体" w:eastAsia="楷体" w:hAnsi="楷体"/>
          <w:sz w:val="21"/>
          <w:color w:val="595959"/>
        </w:rPr>
      </w:pPr>
      <w:r>
        <w:rPr>
          <w:rFonts w:ascii="楷体" w:eastAsia="楷体" w:hAnsi="楷体" w:hint="eastAsia"/>
          <w:sz w:val="21"/>
          <w:color w:val="595959"/>
        </w:rPr>
        <w:t>注：纯新客户指非我行客户；准新客户指有我行客户号但无网金业务；存量客户指已有网金业务合作。下同。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表2呈现三个特征：其一，底数庞大，收单侧已沉淀近16万户宠物类商户的自然线索，其中近半年交易额1万元以上的活跃商户约2.07万户；其二，渗透率极低，15.8万户中与我行已有网金合作的存量客户仅82户、占比不足万分之六，“蓝海”属性显著；其三，长尾特征明显，超五成商户近半年无交易记录，需要通过权益补贴与持续运营予以激活——这正是双方可以共同经营的空间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（二）个人端：23.75万宠物消费客户浮出水面，价值画像突出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今年以来，通过网联流水交易备注关键词共识别出宠物相关交易的客户237,543人。将其单笔交易金额与我行客户资产等级交叉分层，结果如表3。</w:t>
      </w:r>
    </w:p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表3　个人宠物相关交易客户资产等级分布（人）</w:t>
      </w:r>
    </w:p>
    <w:tbl>
      <w:tblPr>
        <w:tblW w:w="6840" w:type="dxa"/>
        <w:jc w:val="left"/>
      </w:tblPr>
      <w:tblGrid>
        <w:gridCol w:w="1470"/>
        <w:gridCol w:w="870"/>
        <w:gridCol w:w="1770"/>
        <w:gridCol w:w="1320"/>
        <w:gridCol w:w="132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单笔交易金额区间（元）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总人数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大众准V客户（资产30万以下）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理财客户（30万—200万）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财私客户（200万以上）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0～50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103,018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90,797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10,918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1,303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50～100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39,235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34,593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4,120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522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100～500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69,357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60,587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7,690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1,080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500～1,000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14,383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12,179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1,895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309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1,000～5,000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10,261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8,477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1,523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261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5,000以上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1,289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1,088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166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35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合计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237,543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207,721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26,312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3,510</w:t>
            </w:r>
          </w:p>
        </w:tc>
      </w:tr>
    </w:tbl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初步解读：一是名单价值高，近24万名客户在我行留有可识别的宠物消费行为轨迹，构成精准营销的天然名单库；二是客单结构呈“高频小额为主、大额支出集中”，单笔500元以上的客户达1.59万人；三是财富层级迁移潜力大，理财及以上客户合计29,822人、占比12.51%，约为全行平均占比（4.81%）的2.6倍——该客群既是消费信贷的目标客群，更是财富管理与私行经营的优质入口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（三）品类拆分：食品用品是高频入口，医疗是大额分期场景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进一步按交易类型拆分，宠物食品用品类客户165,107人、宠物医疗类客户29,493人，构成两大主力品类。明细如表4、表5。</w:t>
      </w:r>
    </w:p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表4　宠物食品用品类交易客户分布（人）</w:t>
      </w:r>
    </w:p>
    <w:tbl>
      <w:tblPr>
        <w:tblW w:w="6300" w:type="dxa"/>
        <w:jc w:val="left"/>
      </w:tblPr>
      <w:tblGrid>
        <w:gridCol w:w="1650"/>
        <w:gridCol w:w="1050"/>
        <w:gridCol w:w="1260"/>
        <w:gridCol w:w="1170"/>
        <w:gridCol w:w="117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单笔交易金额区间（元）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总人数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大众准V客户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理财客户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财私客户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0～50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84,793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74,334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9,336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1,123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50～100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28,532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24,927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3,215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390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100～500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43,109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37,032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5,310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767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500～1,000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5,929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4,865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910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154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1,000～5,000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2,521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2,074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380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67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5,000以上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223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201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合计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165,107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143,433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19,171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2,503</w:t>
            </w:r>
          </w:p>
        </w:tc>
      </w:tr>
    </w:tbl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表5　宠物医疗类交易客户分布（人）</w:t>
      </w:r>
    </w:p>
    <w:tbl>
      <w:tblPr>
        <w:tblW w:w="6300" w:type="dxa"/>
        <w:jc w:val="left"/>
      </w:tblPr>
      <w:tblGrid>
        <w:gridCol w:w="1650"/>
        <w:gridCol w:w="1050"/>
        <w:gridCol w:w="1260"/>
        <w:gridCol w:w="1170"/>
        <w:gridCol w:w="117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单笔交易金额区间（元）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总人数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大众准V客户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理财客户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财私客户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0～50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4,613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4,103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435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75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50～100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4,780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4,244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464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72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100～500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12,519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10,936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1,403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180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500～1,000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3,967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3,345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534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88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1,000～5,000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3,273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2,627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549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97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5,000以上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341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270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56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15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合计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29,493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25,525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3,441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E3EEF9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527</w:t>
            </w:r>
          </w:p>
        </w:tc>
      </w:tr>
    </w:tbl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两类品类金融适配逻辑清晰：食品用品以日常刚需为主、复购稳定，适合承载权益激活与睡眠户唤醒；医疗类客单价明显更高，单笔500元以上客户7,581人、占该类客群的25.7%，大额、刚性、突发属性使诊疗分期产品具备天然的适配场景。我行据此制订了随e贷宠物医疗分期专项方案（详见第三部分）。</w:t>
      </w:r>
    </w:p>
    <w:p>
      <w:pPr>
        <w:spacing w:before="150" w:after="60" w:line="312"/>
        <w:ind w:firstLine="360"/>
        <w:keepNext/>
        <w:widowControl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（四）对公端：授信覆盖刚起步，产融空间广阔</w:t>
      </w:r>
    </w:p>
    <w:p>
      <w:pPr>
        <w:spacing w:line="360"/>
        <w:ind w:firstLine="570"/>
        <w:keepNext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三四级行业分类中含“宠物”的对公授信客户共26户、截至6月末贷款余额1.25亿元；个人经营贷宠物行业客户2户、余额74万元。对照普惠金融部梳理的全省38家宠物经济重点企业清单，我行目前开户合作仅8户（存款1,455万元）、授信合作6户（贷款余额1.7亿元），覆盖率仍处低位。伴随省内宠物产业集群在苏州、南京、宿迁等地加速集聚，对公开户结算、供应链产融、跨境结算等业务大有可为。</w:t>
      </w:r>
    </w:p>
    <w:p>
      <w:pPr>
        <w:spacing w:before="150" w:after="60" w:line="312"/>
        <w:ind w:firstLine="360"/>
        <w:keepNext/>
        <w:widowControl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（五）客群画像小结与价值判断</w:t>
      </w:r>
    </w:p>
    <w:p>
      <w:pPr>
        <w:spacing w:line="360"/>
        <w:ind w:firstLine="570"/>
        <w:keepNext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综合四条线索及《宠物行业消费端调研报告》：2026年上半年我行宠物场景消费客户23.75万户、发生交易75.5万笔、金额近7,000万元；客群中女性占66.5%、20—50岁占76.9%；理财及以上等级客群占比12.51%，显著高于全行平均的4.81%。核心养宠人群集中于两类画像：一类是年轻单身高知未婚群体，以猫为主、单只向多只拓展，重视品质健康、对诊疗分期接受度高；另一类是子女离家的中老年中高产群体，宠物是情感寄托，重关怀型服务与资产配置。我们的基本判断是：宠物客群“人数有限、钱包份额大、忠诚度高”，是小切口撬动年轻客群获取和中高端客群深化的优质赛道，这与贵司服务核心养宠家庭、倡导科学精致养宠的定位高度契合。</w:t>
      </w:r>
    </w:p>
    <w:p>
      <w:pPr>
        <w:spacing w:before="150" w:after="60" w:line="312"/>
        <w:ind w:firstLine="360"/>
        <w:keepNext/>
        <w:widowControl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（六）已开展的初步经营动作</w:t>
      </w:r>
    </w:p>
    <w:p>
      <w:pPr>
        <w:spacing w:line="360"/>
        <w:ind w:firstLine="570"/>
        <w:keepNext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一是建立精准触达名单。大数据部已从行内客群圈选出23.8万名宠物消费目标客户，通过手机银行push开展首轮精准触达，并对全量客户实施弹窗、banner宣传。二是搭建线上专区入口。8月6日银联萌宠专区正式入驻手机银行，首批接入48家商户，上线以来已有超5,300人次点击进入。三是夯实商户基础。网络金融部梳理辖内宠物类苏银支付合作商户122户（其中连锁商户4户），拟从头部集团和连锁机构切入提供B2B支付、多门店清算、预付资金管理等综合服务。四是储备产融项目。已与阿里宠物生态探讨“免费赠险获客—B端场景转化”模式，制订新瑞鹏随e贷储值分期专项方案，试点落地条件基本具备。</w:t>
      </w:r>
    </w:p>
    <w:p>
      <w:pPr>
        <w:spacing w:before="210" w:after="90" w:line="312"/>
        <w:keepNext/>
        <w:rPr>
          <w:rFonts w:ascii="黑体" w:eastAsia="黑体" w:hAnsi="黑体"/>
          <w:sz w:val="32"/>
          <w:color w:val="1A3A5C"/>
        </w:rPr>
      </w:pPr>
      <w:r>
        <w:rPr>
          <w:rFonts w:ascii="黑体" w:eastAsia="黑体" w:hAnsi="黑体" w:hint="eastAsia"/>
          <w:sz w:val="32"/>
          <w:color w:val="1A3A5C"/>
        </w:rPr>
        <w:t>三、下阶段江苏银行宠物场景打造的探讨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立足上述客群底数与合作基础，我们对下阶段宠物场景建设有三点基本考虑：其一，以“资源整合者”定位切入，不止于售卖单一产品，而是统筹社会资源、金融资源、政府资源，做宠物生态的组织者与连接者；其二，坚持“权益＋场景＋金融”方法论，先做热场景、再自然衔接金融产品；其三，机制先行、小步快跑，以项目制推进落地。结合贵司能力禀赋与我行平台优势，提出如下思路供探讨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（一）总体思路与工作机制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总体定位上，围绕政银合作（产业基地协同、行业标准建设、信用评价体系）、赋能实体企业（产融服务、出口结算、产学研协同）、服务消费终端（权益、场景、金融三位一体）三大方向梯次展开，零售端与对公端相互引流、双向反哺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工作机制上，总行已组建宠物经济工作小组，由个贷部（零售信贷部）牵头，苏银研究院、公司业务部、国际业务部、普惠金融部（科技金融部）、网络金融部、零售业务部、信息科技部、大数据部、行政部十部门共同参与，实行每周进度征集、每月例会复盘；一线商机系统（比邻星）已增设“宠物经济”标签畅通线索转介；苏银豆商城正规划开设“宠物专区”，与手机银行萌宠专区差异化互补。运营层面按“客群触达→专区点击→权益核销→金融转化→留存复购”五层漏斗设计内容与权益，数据合规评审前置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（二）双方合作的良好开端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7月28日的首次交流中，双方就网金条线账户结算与投流赋能、零售条线苏超引流与私域共营、智慧食堂、个贷条线员工消费贷与代发工资等方向形成初步意向，相关事项均已记录在案、分线对接。目前进展包括：零售条线已明确苏超场景优惠券及私域流量运营的合作路径，拟待贵司自营平台建成后先行对接消费券引流需求；杭州分行作为属地机构持续跟进日常对接；网金条线账户结算合作方案正在推进之中。本次座谈有望推动上述事项加快取得实质突破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（三）六大重点探讨方向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一：支付结算与财务数字化赋能。针对贵司境内B2B多渠道收款（银行转账、微信、支付宝并存）依赖人工对账的痛点，我行可提供定制化分账与多渠道订单资金自动核对匹配服务，提升财务自动化水平并满足合规税务规划要求；依托与1688合作的“88生意通”，解决线下B2B成交中订单与资金不匹配的问题；针对出口收款以TT电汇为主的现状，可探讨数字人民币混合账户等新型结算工具的应用。同时，依托我行作为字节、抖音等头部平台底层清算行的优势，可为贵司对接核心投流服务商比价并给予投流补贴支持，降低品牌推广成本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二：线上专区共建共营。在现有银联萌宠专区基础上，引入贵司定制化H5专区，覆盖16大品类商品与AI养宠问答等内容，进入手机银行首页流量池；商品支持现金购买、积分兑换、“积分＋现金”三种结算模式，同步打通苏银豆积分体系实现权益互通；借鉴贵司成熟的标签分层打法（浏览种草、热卖回购、百科社区），与我行23.8万目标客群名单开展千人千面精准运营；中长期共建“宠物档案”场景——记录宠物生日、疫苗接种等关键节点并向客户推送关怀提醒与专属优惠，既提升客户黏性，也为我行用户画像补充非金融维度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三：流量互导与客群共营。借势苏超：目前苏超合作品牌以餐饮文旅为主、宠物品类尚属空白，双方可设计面向苏超用户的宠物优惠券包，实现公域流量双向转化。私域共营：把我行财富客户导流至“天元大世界”私域平台，贵司向我行私域客户开放宠物专属权益，实现宠物经营与财富经营的相互绑定。智慧食堂：我行可向优质企业客户免费输出定制化智慧食堂系统（餐补管理、报表统计、采销购管理），可作为双方联合走进企业的服务切入点，为员工金融服务铺路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四：高端客群权益共营。参照同业“车险养宠用户交叉营销”“爱宠专区代运营”的成熟经验，打造省内首个“银行×宠物头部企业”高端权益样板：对我行高端信用卡年费客户提供大牌主粮半年供、猫砂月供等定期配送权益；对新客户推出“新户一元购”“5折购渴望·爱肯拿”等爆点活动；面向养宠家庭组合“萌宠礼遇包”（体检券码、口粮买单、用品折扣）；面向私人银行客户叠加宠物医疗专家视频会诊绿通、陪诊导诊、宠物友好酒店预订等关怀增值服务，把宠物关怀做成高净值服务的差异化名片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五：信贷产品协同。员工端：为我行合作企业提供年化利率3%以内的员工消费贷，指定用途可叠加财政贴息政策红利（以当期政策为准），配套代发工资综合服务方案——我行对优质上市公司有专项战略支持政策，愿为贵司提供更具竞争力的方案参与比选。商户端：贵司“他品”平台沉淀了5万余家门店资源，我行愿意共同研究面向下游门店的经营贷服务路径，先行基于平台采购数据与实地尽调建立商户白名单，并配套统一收单、预付资金存管、多门店资金清算等综合结算服务。客户端：我行随e贷贴息分期模式（0首付、12或24期、单笔上限10万元、受托支付至合作方对公账户、贴息成本低于传统赠金）已在宠物医疗领域形成完整方案，未来同样适用于宠物商品大额采购、连锁机构会员储值等场景，欢迎贵司参与共同设计与试点。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方向六：线下网点与人宠生态延伸。选取重点城市支行试点宠物友好网点，设置用品陈列展示区、业务办理临时寄养点，定期举办领养日、宠物摄影等主题活动，打造品牌记忆点；推动贵司32家盟约宠物医院以及航空托运、高铁托运、公路运输、人宠定制游、宠物友好酒店等服务资源嵌入我行线上专区，形成“商品＋服务＋内容”的全场景闭环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（四）分步实施建议</w:t>
      </w:r>
    </w:p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表6　分步实施节奏建议</w:t>
      </w:r>
    </w:p>
    <w:tbl>
      <w:tblPr>
        <w:tblW w:w="6900" w:type="dxa"/>
        <w:jc w:val="left"/>
      </w:tblPr>
      <w:tblGrid>
        <w:gridCol w:w="780"/>
        <w:gridCol w:w="1380"/>
        <w:gridCol w:w="459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阶段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时间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重点事项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近期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2026年三季度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组建双方联合工作专班；宠物专区H5开发排期并上线；苏超优惠券方案落地；客群标签分群建模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中期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2026年四季度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积分商城兑换与千人千面运营深化；员工消费贷团办与代发工资方案落地；高端年费用户配送权益试点；他品门店经营贷联合调研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远期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2027年及以后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共建宠物生态开放平台；数据合规前提下的联合建模与GEO智能搜索共营；政银企三方产业协同（宿迁等产业集群基地）</w:t>
            </w:r>
          </w:p>
        </w:tc>
      </w:tr>
    </w:tbl>
    <w:p>
      <w:pPr>
        <w:spacing w:before="120" w:after="60" w:line="300"/>
        <w:jc w:val="center"/>
        <w:keepNext/>
        <w:rPr>
          <w:rFonts w:ascii="黑体" w:eastAsia="黑体" w:hAnsi="黑体"/>
          <w:sz w:val="24"/>
          <w:b/>
        </w:rPr>
      </w:pPr>
      <w:r>
        <w:rPr>
          <w:rFonts w:ascii="黑体" w:eastAsia="黑体" w:hAnsi="黑体" w:hint="eastAsia"/>
          <w:sz w:val="24"/>
          <w:color w:val="666666"/>
          <w:b/>
        </w:rPr>
        <w:t>表7　分条线对接建议</w:t>
      </w:r>
    </w:p>
    <w:tbl>
      <w:tblPr>
        <w:tblW w:w="6900" w:type="dxa"/>
        <w:jc w:val="left"/>
      </w:tblPr>
      <w:tblGrid>
        <w:gridCol w:w="2190"/>
        <w:gridCol w:w="2370"/>
        <w:gridCol w:w="2190"/>
      </w:tblGrid>
      <w:tr>
        <w:trPr>
          <w:trHeight w:val="420" w:hRule="atLeast"/>
          <w:tblHeader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合作方向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我行牵头条线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DCE9F5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570"/>
              <w:jc w:val="center"/>
              <w:widowControl/>
              <w:rPr>
                <w:rFonts w:ascii="宋体" w:eastAsia="宋体" w:hAnsi="宋体"/>
                <w:sz w:val="22"/>
                <w:b/>
              </w:rPr>
            </w:pPr>
            <w:r>
              <w:rPr>
                <w:rFonts w:ascii="宋体" w:eastAsia="宋体" w:hAnsi="宋体" w:hint="eastAsia"/>
                <w:sz w:val="22"/>
                <w:b/>
              </w:rPr>
              <w:t>贵司对应团队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支付结算与财务数字化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网络金融部、公司业务部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财务中心、信息技术团队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线上专区共建共营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88"/>
              <w:ind w:firstLine="0"/>
              <w:jc w:val="left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零售信贷部、信息科技部、大数据部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电商运营中心、平台技术团队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流量互导与客群共营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零售业务部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市场品牌部门、私域运营团队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高端客群权益共营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零售业务部、零售信贷部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品牌方权益供应链团队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信贷产品协同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零售信贷部、普惠金融部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人力资源部门、他品平台团队</w:t>
            </w:r>
          </w:p>
        </w:tc>
      </w:tr>
      <w:tr>
        <w:trPr>
          <w:trHeight w:val="360" w:hRule="atLeast"/>
          <w:tblHeader w:val="0"/>
        </w:trPr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网点与人宠生态延伸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办公室、零售信贷部、属地分行</w:t>
            </w:r>
          </w:p>
        </w:tc>
        <w:tc>
          <w:tcPr>
            <w:tcBorders>
              <w:top w:val="single" w:sz="6" w:space="0" w:color="AEC4DA"/>
              <w:left w:val="single" w:sz="6" w:space="0" w:color="AEC4DA"/>
              <w:bottom w:val="single" w:sz="6" w:space="0" w:color="AEC4DA"/>
              <w:right w:val="single" w:sz="6" w:space="0" w:color="AEC4DA"/>
            </w:tcBorders>
            <w:shd w:val="clear" w:color="auto" w:fill="F5FAFE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>
              <w:spacing w:line="276"/>
              <w:ind w:firstLine="0"/>
              <w:jc w:val="center"/>
              <w:widowControl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渠道门店网络、盟约服务商体系</w:t>
            </w:r>
          </w:p>
        </w:tc>
      </w:tr>
    </w:tbl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为保障上述事项落地，建议建立三项机制：一是联合工作专班机制，双方明确业务与技术接口人，按清单化管理、销号式推进；二是属地联动机制，杭州分行就近承接日常对接与需求收集，总行条线限时响应；三是合规前置机制，涉及客户数据授权、利益分成、联名品牌规范等事项，双方法务合规部门提前介入评审，确保各项合作依法合规、行稳致远。</w:t>
      </w:r>
    </w:p>
    <w:p>
      <w:pPr>
        <w:spacing w:before="150" w:after="60" w:line="312"/>
        <w:keepNext/>
        <w:rPr>
          <w:rFonts w:ascii="楷体" w:eastAsia="楷体" w:hAnsi="楷体"/>
          <w:sz w:val="30"/>
          <w:color w:val="17365D"/>
          <w:b/>
        </w:rPr>
      </w:pPr>
      <w:r>
        <w:rPr>
          <w:rFonts w:ascii="楷体" w:eastAsia="楷体" w:hAnsi="楷体" w:hint="eastAsia"/>
          <w:sz w:val="30"/>
          <w:color w:val="17365D"/>
          <w:b/>
        </w:rPr>
        <w:t>（五）结语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宠物经济一头连着消费升级，一头连着民生温度。江苏银行拥有超3300万户零售客群、1.83万亿元零售AUM的平台势能和覆盖清算结算、消费信贷、财富管理的金融工具箱；天元宠物拥有全品类供应链、5万余家渠道门店资源和日益成熟的数字化运营能力。我们愿与贵司发挥各自所长，把每一个共识转化为具体项目，共同擦亮“宠物友好金融”名片，实现商业价值与社会价值的双赢。最后，祝本次交流圆满顺利，祝天元宠物事业蒸蒸日上！</w:t>
      </w:r>
    </w:p>
    <w:p>
      <w:pPr>
        <w:spacing w:before="210" w:after="90" w:line="312"/>
        <w:keepNext/>
        <w:rPr>
          <w:rFonts w:ascii="黑体" w:eastAsia="黑体" w:hAnsi="黑体"/>
          <w:sz w:val="32"/>
          <w:color w:val="1A3A5C"/>
        </w:rPr>
      </w:pPr>
      <w:r>
        <w:rPr>
          <w:rFonts w:ascii="黑体" w:eastAsia="黑体" w:hAnsi="黑体" w:hint="eastAsia"/>
          <w:sz w:val="32"/>
          <w:color w:val="1A3A5C"/>
        </w:rPr>
        <w:t>附：主要资料来源说明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1．《江苏银行股份有限公司2026年半年度报告》（2026年8月披露）；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2．我行大数据部《宠物场景分析》数据分析表（2026年7月，个人端数据为今年以来口径，其余截至2026年6月末）；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3．《宠物行业消费端调研报告》及我行2026年上半年宠物场景经营监测数据（个贷部、大数据部）；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4．《江苏银行与天元宠物业务合作洽谈会议纪要》（2026年7月28日）；</w:t>
      </w:r>
    </w:p>
    <w:p>
      <w:pPr>
        <w:spacing w:line="360"/>
        <w:ind w:firstLine="570"/>
        <w:widowControl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5．天元宠物《金融客户合作方案》（2026年5月）。</w:t>
      </w:r>
    </w:p>
    <w:p>
      <w:pPr>
        <w:spacing w:before="270" w:line="300"/>
        <w:jc w:val="center"/>
        <w:rPr>
          <w:rFonts w:ascii="楷体" w:eastAsia="楷体" w:hAnsi="楷体"/>
          <w:sz w:val="21"/>
          <w:color w:val="595959"/>
          <w:i/>
        </w:rPr>
      </w:pPr>
      <w:r>
        <w:rPr>
          <w:rFonts w:ascii="楷体" w:eastAsia="楷体" w:hAnsi="楷体" w:hint="eastAsia"/>
          <w:sz w:val="21"/>
          <w:color w:val="595959"/>
          <w:i/>
        </w:rPr>
        <w:t>本材料仅供双方业务交流参考使用，未经许可请勿转发或用于其他用途。</w:t>
      </w:r>
    </w:p>
    <w:sectPr>
      <w:pgSz w:w="14400" w:h="16840"/>
      <w:pgMar w:top="750" w:right="750" w:bottom="750" w:left="750" w:header="450" w:footer="45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0" w:after="180" w:line="36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Company>Univer.ai</Company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交流材料</dc:title>
  <dc:creator/>
  <cp:lastModifiedBy/>
  <dcterms:created xsi:type="dcterms:W3CDTF">2026-01-01T00:00:00Z</dcterms:created>
  <dcterms:modified xsi:type="dcterms:W3CDTF">2026-01-01T00:00:00Z</dcterms:modified>
</cp:coreProperties>
</file>