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D3EF1">
      <w:pPr>
        <w:jc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房产价值报告</w:t>
      </w:r>
    </w:p>
    <w:p w14:paraId="6DBFAE9F">
      <w:pPr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81E3EF1">
      <w:pPr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北京银行股份有限公司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    </w:t>
      </w:r>
      <w:r>
        <w:rPr>
          <w:sz w:val="21"/>
          <w:u w:val="single"/>
        </w:rPr>
        <w:t>东四支行</w:t>
      </w:r>
      <w:r>
        <w:rPr>
          <w:sz w:val="21"/>
          <w:u w:val="single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：</w:t>
      </w:r>
    </w:p>
    <w:p w14:paraId="7569C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承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蒙委托，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我们</w:t>
      </w:r>
      <w:r>
        <w:rPr>
          <w:rFonts w:hint="eastAsia" w:asciiTheme="minorEastAsia" w:hAnsiTheme="minorEastAsia" w:cstheme="minorEastAsia"/>
          <w:sz w:val="21"/>
          <w:szCs w:val="21"/>
          <w:highlight w:val="none"/>
          <w:lang w:eastAsia="zh-CN"/>
        </w:rPr>
        <w:t>对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位于</w:t>
      </w:r>
      <w:r>
        <w:rPr>
          <w:rFonts w:hint="eastAsia" w:asciiTheme="minorEastAsia" w:hAnsiTheme="minorEastAsia" w:cstheme="minorEastAsia"/>
          <w:sz w:val="21"/>
          <w:szCs w:val="21"/>
          <w:highlight w:val="none"/>
          <w:u w:val="single"/>
          <w:lang w:val="en-US" w:eastAsia="zh-CN"/>
        </w:rPr>
        <w:t xml:space="preserve">   </w:t>
      </w:r>
      <w:r>
        <w:rPr>
          <w:sz w:val="21"/>
          <w:u w:val="single"/>
        </w:rPr>
        <w:t>碧兴园</w:t>
      </w:r>
      <w:r>
        <w:rPr>
          <w:sz w:val="21"/>
          <w:u w:val="single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，总建筑面积为</w:t>
      </w:r>
      <w:r>
        <w:rPr>
          <w:rFonts w:hint="eastAsia" w:asciiTheme="minorEastAsia" w:hAnsiTheme="minorEastAsia" w:cstheme="minorEastAsia"/>
          <w:sz w:val="21"/>
          <w:szCs w:val="21"/>
          <w:highlight w:val="none"/>
          <w:u w:val="single"/>
          <w:lang w:val="en-US" w:eastAsia="zh-CN"/>
        </w:rPr>
        <w:t xml:space="preserve">     </w:t>
      </w:r>
      <w:r>
        <w:rPr>
          <w:sz w:val="21"/>
          <w:u w:val="single"/>
        </w:rPr>
        <w:t>85.43</w:t>
      </w:r>
      <w:r>
        <w:rPr>
          <w:sz w:val="21"/>
          <w:u w:val="single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平方米的房产价值进行</w:t>
      </w:r>
      <w:r>
        <w:rPr>
          <w:rFonts w:hint="eastAsia" w:asciiTheme="minorEastAsia" w:hAnsiTheme="minorEastAsia" w:cstheme="minorEastAsia"/>
          <w:sz w:val="21"/>
          <w:szCs w:val="21"/>
          <w:highlight w:val="none"/>
          <w:lang w:eastAsia="zh-CN"/>
        </w:rPr>
        <w:t>分析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。参与本次房产价值</w:t>
      </w:r>
      <w:r>
        <w:rPr>
          <w:rFonts w:hint="eastAsia" w:asciiTheme="minorEastAsia" w:hAnsiTheme="minorEastAsia" w:cstheme="minorEastAsia"/>
          <w:sz w:val="21"/>
          <w:szCs w:val="21"/>
          <w:highlight w:val="none"/>
          <w:lang w:eastAsia="zh-CN"/>
        </w:rPr>
        <w:t>分析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人员根据委托目的，在认真分析现有资料的基础上，通过测算和分析，初步确定</w:t>
      </w:r>
      <w:r>
        <w:rPr>
          <w:rFonts w:hint="eastAsia" w:asciiTheme="minorEastAsia" w:hAnsiTheme="minorEastAsia" w:cstheme="minorEastAsia"/>
          <w:sz w:val="21"/>
          <w:szCs w:val="21"/>
          <w:highlight w:val="none"/>
          <w:lang w:eastAsia="zh-CN"/>
        </w:rPr>
        <w:t>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21"/>
          <w:szCs w:val="21"/>
          <w:highlight w:val="none"/>
          <w:lang w:eastAsia="zh-CN"/>
        </w:rPr>
        <w:t>析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对象在假定未设立法定优先受偿权条件下于</w:t>
      </w:r>
      <w:r>
        <w:rPr>
          <w:rFonts w:hint="eastAsia" w:asciiTheme="minorEastAsia" w:hAnsiTheme="minorEastAsia" w:cstheme="minorEastAsia"/>
          <w:sz w:val="21"/>
          <w:szCs w:val="21"/>
          <w:highlight w:val="none"/>
          <w:u w:val="single"/>
          <w:lang w:val="en-US" w:eastAsia="zh-CN"/>
        </w:rPr>
        <w:t xml:space="preserve">  </w:t>
      </w:r>
      <w:r>
        <w:rPr>
          <w:sz w:val="21"/>
          <w:u w:val="single"/>
        </w:rPr>
        <w:t>2026</w:t>
      </w:r>
      <w:r>
        <w:rPr>
          <w:sz w:val="21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年</w:t>
      </w:r>
      <w:r>
        <w:rPr>
          <w:rFonts w:hint="eastAsia" w:asciiTheme="minorEastAsia" w:hAnsiTheme="minorEastAsia" w:cstheme="minorEastAsia"/>
          <w:sz w:val="21"/>
          <w:szCs w:val="21"/>
          <w:highlight w:val="none"/>
          <w:u w:val="single"/>
          <w:lang w:val="en-US" w:eastAsia="zh-CN"/>
        </w:rPr>
        <w:t xml:space="preserve">  </w:t>
      </w:r>
      <w:r>
        <w:rPr>
          <w:sz w:val="21"/>
          <w:u w:val="single"/>
        </w:rPr>
        <w:t>03</w:t>
      </w:r>
      <w:r>
        <w:rPr>
          <w:sz w:val="21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月</w:t>
      </w:r>
      <w:r>
        <w:rPr>
          <w:rFonts w:hint="eastAsia" w:asciiTheme="minorEastAsia" w:hAnsiTheme="minorEastAsia" w:cstheme="minorEastAsia"/>
          <w:sz w:val="21"/>
          <w:szCs w:val="21"/>
          <w:highlight w:val="none"/>
          <w:u w:val="single"/>
          <w:lang w:val="en-US" w:eastAsia="zh-CN"/>
        </w:rPr>
        <w:t xml:space="preserve">  </w:t>
      </w:r>
      <w:r>
        <w:rPr>
          <w:sz w:val="21"/>
          <w:u w:val="single"/>
        </w:rPr>
        <w:t>17</w:t>
      </w:r>
      <w:r>
        <w:rPr>
          <w:sz w:val="21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  <w:t>日房产价值为:</w:t>
      </w:r>
    </w:p>
    <w:p w14:paraId="2407D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ind w:firstLine="422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highlight w:val="none"/>
        </w:rPr>
        <w:t>单价: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highlight w:val="none"/>
          <w:u w:val="single"/>
          <w:lang w:val="en-US" w:eastAsia="zh-CN"/>
        </w:rPr>
        <w:t xml:space="preserve">    </w:t>
      </w:r>
      <w:r>
        <w:rPr>
          <w:b w:val="true"/>
          <w:sz w:val="21"/>
          <w:u w:val="single"/>
        </w:rPr>
        <w:t>87791.17</w:t>
      </w:r>
      <w:r>
        <w:rPr>
          <w:b w:val="true"/>
          <w:sz w:val="21"/>
          <w:u w:val="single"/>
        </w:rPr>
        <w:t xml:space="preserve">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highlight w:val="none"/>
        </w:rPr>
        <w:t>元/平方米，总值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highlight w:val="none"/>
          <w:lang w:eastAsia="zh-CN"/>
        </w:rPr>
        <w:t>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highlight w:val="none"/>
          <w:u w:val="single"/>
          <w:lang w:val="en-US" w:eastAsia="zh-CN"/>
        </w:rPr>
        <w:t xml:space="preserve">     </w:t>
      </w:r>
      <w:r>
        <w:rPr>
          <w:b w:val="true"/>
          <w:sz w:val="21"/>
          <w:u w:val="single"/>
        </w:rPr>
        <w:t>7500000.00</w:t>
      </w:r>
      <w:r>
        <w:rPr>
          <w:b w:val="true"/>
          <w:sz w:val="21"/>
          <w:u w:val="single"/>
        </w:rPr>
        <w:t xml:space="preserve"> 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highlight w:val="none"/>
        </w:rPr>
        <w:t>元，大写金额: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highlight w:val="none"/>
          <w:u w:val="single"/>
          <w:lang w:val="en-US" w:eastAsia="zh-CN"/>
        </w:rPr>
        <w:t xml:space="preserve">    </w:t>
      </w:r>
      <w:r>
        <w:rPr>
          <w:b w:val="true"/>
          <w:sz w:val="21"/>
          <w:u w:val="single"/>
        </w:rPr>
        <w:t>柒佰伍拾万元整</w:t>
      </w:r>
      <w:r>
        <w:rPr>
          <w:b w:val="true"/>
          <w:sz w:val="21"/>
          <w:u w:val="single"/>
        </w:rPr>
        <w:t xml:space="preserve">   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highlight w:val="none"/>
        </w:rPr>
        <w:t>。详见</w:t>
      </w:r>
      <w:r>
        <w:rPr>
          <w:rFonts w:hint="eastAsia"/>
          <w:b/>
          <w:bCs/>
          <w:highlight w:val="none"/>
          <w:lang w:eastAsia="zh-CN"/>
        </w:rPr>
        <w:t>房产价值</w:t>
      </w:r>
      <w:r>
        <w:rPr>
          <w:rFonts w:hint="eastAsia"/>
          <w:b/>
          <w:bCs/>
          <w:highlight w:val="none"/>
        </w:rPr>
        <w:t>结果一览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highlight w:val="none"/>
        </w:rPr>
        <w:t>表。</w:t>
      </w:r>
    </w:p>
    <w:p w14:paraId="4DF06160">
      <w:pPr>
        <w:jc w:val="center"/>
        <w:rPr>
          <w:rFonts w:hint="eastAsia"/>
        </w:rPr>
      </w:pPr>
      <w:r>
        <w:rPr>
          <w:rFonts w:hint="eastAsia"/>
          <w:lang w:eastAsia="zh-CN"/>
        </w:rPr>
        <w:t>房产价值</w:t>
      </w:r>
      <w:r>
        <w:rPr>
          <w:rFonts w:hint="eastAsia"/>
        </w:rPr>
        <w:t>结果一览表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492"/>
        <w:gridCol w:w="1247"/>
        <w:gridCol w:w="1943"/>
      </w:tblGrid>
      <w:tr w14:paraId="51D0F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4C8192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房屋坐落</w:t>
            </w:r>
          </w:p>
        </w:tc>
        <w:tc>
          <w:tcPr>
            <w:tcW w:w="5682" w:type="dxa"/>
            <w:gridSpan w:val="3"/>
            <w:vAlign w:val="center"/>
          </w:tcPr>
          <w:p w14:paraId="08ADB95E"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碧兴园</w:t>
            </w:r>
          </w:p>
        </w:tc>
      </w:tr>
      <w:tr w14:paraId="4A91D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ABF427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居室</w:t>
            </w:r>
          </w:p>
        </w:tc>
        <w:tc>
          <w:tcPr>
            <w:tcW w:w="5682" w:type="dxa"/>
            <w:gridSpan w:val="3"/>
            <w:vAlign w:val="center"/>
          </w:tcPr>
          <w:p w14:paraId="7CC24DEF"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2室2厅1厨1卫1阳</w:t>
            </w:r>
          </w:p>
        </w:tc>
      </w:tr>
      <w:tr w14:paraId="0ADAE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505C6A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是否顶楼</w:t>
            </w:r>
          </w:p>
        </w:tc>
        <w:tc>
          <w:tcPr>
            <w:tcW w:w="2492" w:type="dxa"/>
            <w:vAlign w:val="center"/>
          </w:tcPr>
          <w:p w14:paraId="5B9DB95F">
            <w:pPr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  <w:tc>
          <w:tcPr>
            <w:tcW w:w="1247" w:type="dxa"/>
            <w:vAlign w:val="center"/>
          </w:tcPr>
          <w:p w14:paraId="125205D5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是否一层</w:t>
            </w:r>
          </w:p>
        </w:tc>
        <w:tc>
          <w:tcPr>
            <w:tcW w:w="1943" w:type="dxa"/>
            <w:vAlign w:val="center"/>
          </w:tcPr>
          <w:p w14:paraId="60812DCC"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</w:tr>
      <w:tr w14:paraId="66E59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BB86A0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建筑面积</w:t>
            </w:r>
          </w:p>
        </w:tc>
        <w:tc>
          <w:tcPr>
            <w:tcW w:w="2492" w:type="dxa"/>
            <w:vAlign w:val="center"/>
          </w:tcPr>
          <w:p w14:paraId="627957A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85.43</w:t>
            </w:r>
            <w:r>
              <w:rPr>
                <w:rFonts w:ascii="宋体" w:hAnsi="宋体" w:cs="宋体" w:eastAsia="宋体"/>
                <w:sz w:val="21"/>
              </w:rPr>
              <w:t>㎡</w:t>
            </w:r>
          </w:p>
        </w:tc>
        <w:tc>
          <w:tcPr>
            <w:tcW w:w="1247" w:type="dxa"/>
            <w:vAlign w:val="center"/>
          </w:tcPr>
          <w:p w14:paraId="25B5C2D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房屋朝向</w:t>
            </w:r>
          </w:p>
        </w:tc>
        <w:tc>
          <w:tcPr>
            <w:tcW w:w="1943" w:type="dxa"/>
            <w:vAlign w:val="center"/>
          </w:tcPr>
          <w:p w14:paraId="56FF5FB5"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-</w:t>
            </w:r>
          </w:p>
        </w:tc>
      </w:tr>
      <w:tr w14:paraId="499C9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restart"/>
            <w:vAlign w:val="center"/>
          </w:tcPr>
          <w:p w14:paraId="44376F61">
            <w:pPr>
              <w:bidi w:val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市场价值</w:t>
            </w:r>
          </w:p>
        </w:tc>
        <w:tc>
          <w:tcPr>
            <w:tcW w:w="2492" w:type="dxa"/>
            <w:vAlign w:val="center"/>
          </w:tcPr>
          <w:p w14:paraId="0ABD582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单价（元/平方米）</w:t>
            </w:r>
          </w:p>
        </w:tc>
        <w:tc>
          <w:tcPr>
            <w:tcW w:w="3190" w:type="dxa"/>
            <w:gridSpan w:val="2"/>
          </w:tcPr>
          <w:p w14:paraId="217CDB55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87791.17</w:t>
            </w:r>
          </w:p>
        </w:tc>
      </w:tr>
      <w:tr w14:paraId="38F63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Merge w:val="continue"/>
            <w:vAlign w:val="center"/>
          </w:tcPr>
          <w:p w14:paraId="3BDEC869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2492" w:type="dxa"/>
            <w:vAlign w:val="center"/>
          </w:tcPr>
          <w:p w14:paraId="3DB29C9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总价（元）</w:t>
            </w:r>
          </w:p>
        </w:tc>
        <w:tc>
          <w:tcPr>
            <w:tcW w:w="3190" w:type="dxa"/>
            <w:gridSpan w:val="2"/>
          </w:tcPr>
          <w:p w14:paraId="3FA78D7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7500000.00</w:t>
            </w:r>
          </w:p>
        </w:tc>
      </w:tr>
    </w:tbl>
    <w:p w14:paraId="10CC1C00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lang w:val="en-US" w:eastAsia="zh-CN"/>
        </w:rPr>
      </w:pPr>
    </w:p>
    <w:p w14:paraId="53E53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小区状况：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95"/>
        <w:gridCol w:w="5611"/>
      </w:tblGrid>
      <w:tr w14:paraId="2D795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3EFB2CDA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小区名称</w:t>
            </w:r>
          </w:p>
        </w:tc>
        <w:tc>
          <w:tcPr>
            <w:tcW w:w="5611" w:type="dxa"/>
            <w:vAlign w:val="top"/>
          </w:tcPr>
          <w:p w14:paraId="613D7B48">
            <w:pP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碧兴园</w:t>
            </w:r>
          </w:p>
        </w:tc>
      </w:tr>
      <w:tr w14:paraId="58C3B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600B23C9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小区地址</w:t>
            </w:r>
          </w:p>
        </w:tc>
        <w:tc>
          <w:tcPr>
            <w:tcW w:w="5611" w:type="dxa"/>
          </w:tcPr>
          <w:p w14:paraId="16AD0327">
            <w:pP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北京市海淀区太月园中街</w:t>
            </w:r>
          </w:p>
        </w:tc>
      </w:tr>
      <w:tr w14:paraId="3517D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68E4EB21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楼盘简介</w:t>
            </w:r>
          </w:p>
        </w:tc>
        <w:tc>
          <w:tcPr>
            <w:tcW w:w="5611" w:type="dxa"/>
          </w:tcPr>
          <w:p w14:paraId="657D9CDD">
            <w:pPr>
              <w:jc w:val="left"/>
              <w:rPr>
                <w:rFonts w:hint="default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  <w:t>-</w:t>
            </w:r>
          </w:p>
        </w:tc>
      </w:tr>
      <w:tr w14:paraId="448D4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12164EF8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小区优点</w:t>
            </w:r>
          </w:p>
        </w:tc>
        <w:tc>
          <w:tcPr>
            <w:tcW w:w="5611" w:type="dxa"/>
          </w:tcPr>
          <w:p w14:paraId="3345B906">
            <w:pPr>
              <w:jc w:val="left"/>
              <w:rPr>
                <w:rFonts w:hint="default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  <w:t>距离地铁13号线和10号线交错的知春路站270米、13号线的大钟寺站930米、10号线的西土城站950米；医院、商场、超市、银行等遍布周边。</w:t>
            </w:r>
          </w:p>
        </w:tc>
      </w:tr>
      <w:tr w14:paraId="251FB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005E433E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小区缺点</w:t>
            </w:r>
          </w:p>
        </w:tc>
        <w:tc>
          <w:tcPr>
            <w:tcW w:w="5611" w:type="dxa"/>
          </w:tcPr>
          <w:p w14:paraId="5ECCA266">
            <w:pPr>
              <w:jc w:val="left"/>
              <w:rPr>
                <w:rFonts w:hint="default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  <w:t>小区里边有一小部分房子是出租给公司办公用的，可能会造成住户有一定的杂乱。</w:t>
            </w:r>
          </w:p>
        </w:tc>
      </w:tr>
      <w:tr w14:paraId="41868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28AFA48A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社区氛围</w:t>
            </w:r>
          </w:p>
        </w:tc>
        <w:tc>
          <w:tcPr>
            <w:tcW w:w="5611" w:type="dxa"/>
          </w:tcPr>
          <w:p w14:paraId="6839643F">
            <w:pPr>
              <w:rPr>
                <w:rFonts w:hint="default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  <w:t>小区的社区有乒乓球台、象棋桌等休闲娱乐设施，供住户闲暇之时休闲娱乐。邻里之间比较和睦，每逢过年过节，社区都会举办相应的活动来庆祝，增加邻里关系，促进社区文化。碧兴园小区的社区活动及氛围还算可以，在该片区处于中等水平，对小区社区活动没有严格要求的客户可以考虑该小区。</w:t>
            </w:r>
          </w:p>
        </w:tc>
      </w:tr>
      <w:tr w14:paraId="2F0FA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30A3C361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物业服务</w:t>
            </w:r>
          </w:p>
        </w:tc>
        <w:tc>
          <w:tcPr>
            <w:tcW w:w="5611" w:type="dxa"/>
          </w:tcPr>
          <w:p w14:paraId="056DB71E">
            <w:pPr>
              <w:rPr>
                <w:rFonts w:hint="default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物业公司：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碧兴园小区是由北京碧兴源物业管理有限公司管理，小区是开放式的，但门口有安保人员24小时值班，居住安全有保障。保洁人员认真负责，无论什么天气，都及时清理垃圾和路障，使得小区一直保持干净卫生。小区的物业管理质量相对于附近的老小区比较好，在该片区处于较高水平。物业不是客户购买本小区的重要关注点。</w:t>
            </w:r>
          </w:p>
        </w:tc>
      </w:tr>
      <w:tr w14:paraId="29956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17AFF271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内部环境</w:t>
            </w:r>
          </w:p>
        </w:tc>
        <w:tc>
          <w:tcPr>
            <w:tcW w:w="5611" w:type="dxa"/>
          </w:tcPr>
          <w:p w14:paraId="449D5D42">
            <w:pP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-</w:t>
            </w:r>
          </w:p>
        </w:tc>
      </w:tr>
      <w:tr w14:paraId="7FF74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755E63D7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治安情况</w:t>
            </w:r>
          </w:p>
        </w:tc>
        <w:tc>
          <w:tcPr>
            <w:tcW w:w="5611" w:type="dxa"/>
          </w:tcPr>
          <w:p w14:paraId="7FA599DD">
            <w:pPr>
              <w:rPr>
                <w:rFonts w:hint="default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  <w:t>小区附近治安不错，小区门口设有警务室，保安人员24小时值班，从业主那里了解，附近很少有治安事件发生。</w:t>
            </w:r>
          </w:p>
        </w:tc>
      </w:tr>
      <w:tr w14:paraId="6ACCB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4641C177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停车情况</w:t>
            </w:r>
          </w:p>
        </w:tc>
        <w:tc>
          <w:tcPr>
            <w:tcW w:w="5611" w:type="dxa"/>
          </w:tcPr>
          <w:p w14:paraId="00CE6526">
            <w:pPr>
              <w:rPr>
                <w:rFonts w:hint="default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  <w:t>小区内有地下车库，地上也有车位，车位相对来说还算充足。小区没有实行人车分流，所以小区内人车流行比较复杂。小区的停车条件一般，在该片区属于中等水平，如果购房者对停车需求比较在意，不建议考虑该小区。</w:t>
            </w:r>
          </w:p>
        </w:tc>
      </w:tr>
      <w:tr w14:paraId="34C4E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5A68AA81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居住人群</w:t>
            </w:r>
          </w:p>
        </w:tc>
        <w:tc>
          <w:tcPr>
            <w:tcW w:w="5611" w:type="dxa"/>
          </w:tcPr>
          <w:p w14:paraId="0E30041C">
            <w:pPr>
              <w:rPr>
                <w:rFonts w:hint="default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  <w:t>上班族：碧兴园大部分是业主自住，还有一部分出租给附近的上班族和北航的教师学生，居民人员统一，受教育程度高。居家：小区多数是业主自住，居家生活气息浓厚。老人小孩：很多老人居住在小区照顾小孩。</w:t>
            </w:r>
          </w:p>
        </w:tc>
      </w:tr>
      <w:tr w14:paraId="7E84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2B9AAA60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周边交通</w:t>
            </w:r>
          </w:p>
        </w:tc>
        <w:tc>
          <w:tcPr>
            <w:tcW w:w="5611" w:type="dxa"/>
          </w:tcPr>
          <w:p w14:paraId="678BC2A1">
            <w:pPr>
              <w:rPr>
                <w:rFonts w:hint="default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  <w:t>小区紧邻地铁站，距离地铁13号线和10号线交错的知春路站270米、13号线的大钟寺站930米、10号线的西土城站950米，交通方便、快捷。小区周边有多条公交线路，知春路公交站距离小区190米、大运村公交场站距离小区340米、大钟寺东站距离小区690米。小区的交通条件是本小区的最大优势之一，对小区的交通条件特别注重的业主推荐购买该小区。</w:t>
            </w:r>
          </w:p>
        </w:tc>
      </w:tr>
      <w:tr w14:paraId="7B4FA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16A6BF0B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周边医疗</w:t>
            </w:r>
          </w:p>
        </w:tc>
        <w:tc>
          <w:tcPr>
            <w:tcW w:w="5611" w:type="dxa"/>
          </w:tcPr>
          <w:p w14:paraId="76E221B8">
            <w:pPr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医院：</w:t>
            </w:r>
            <w:r>
              <w:rPr>
                <w:rFonts w:ascii="宋体" w:hAnsi="宋体" w:cs="宋体" w:eastAsia="宋体"/>
                <w:sz w:val="20"/>
              </w:rPr>
              <w:t>小区的社区医院是蓟门里社区卫生服务站，距离小区900米；大型医院有北京大学第三医院，距离小区1.7公里。社区医院：蓟门里医院，目前设有全科、外科、中医科、妇科、儿科、口腔科，预防保健科、慢病管理科、康复、化验、放射、B超等科室。下设三个社区卫生服务站：塔院社区卫生服务站、展春园社区卫生服务站、1201社区卫生服务站、中心竭诚为您提供疾病预防、基本医疗、保健、康复、计划生育、健康教育六位一体的社区卫生服务。大型医院：北医三院，北医三院拥有骨科、运动医学研究所、妇产科3个教育部创新团队；拥有辅助生殖、心血管研究所和眼科3个教育部重点实验室，心血管内科卫生部重点实验室。目前，57人次任主要系列学术兼职（二级分会主委或副主委），涉及22个科室；18人次在中国科技论文统计源期刊收录杂志任主编或副主编，涉及10个科室（2008年以来）。小区的医疗配套还算可以，在该片区处于中等水平，注重小区医疗条件的客户可以考虑该小区。</w:t>
            </w:r>
          </w:p>
        </w:tc>
      </w:tr>
      <w:tr w14:paraId="25585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3EE49EDB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周边生活</w:t>
            </w:r>
          </w:p>
        </w:tc>
        <w:tc>
          <w:tcPr>
            <w:tcW w:w="5611" w:type="dxa"/>
          </w:tcPr>
          <w:p w14:paraId="087FBD97">
            <w:pP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碧兴园小区周边配套成熟，交通和生活购物都很方便。小区紧邻地铁站，距离地铁13号线和10号线交错的知春路站270米、13号线的大钟寺站930米、10号线的西土城站950米，交通方便、快捷。小区附近有超市发超市、沃尔玛超市、家乐福超市，沃尔玛超市距离小区390米、家乐福超市距离小区840米、超市发距离小区190米。小区周边商场有大钟寺中坤广场，距离小区990米。都能很好地满足住户的日常生活购物。小区的社区医院是蓟门里社区卫生服务站，距离小区900米；大型医院有北京大学第三医院，距离小区1.7公里。小区的配套比较完善，在该片区处于较好水平，看重小区配套的客户可以考虑本小区，小区配套是客户购买本小区的重要关注点。</w:t>
            </w:r>
          </w:p>
        </w:tc>
      </w:tr>
      <w:tr w14:paraId="13446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0AF04B46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物业公司</w:t>
            </w:r>
          </w:p>
        </w:tc>
        <w:tc>
          <w:tcPr>
            <w:tcW w:w="5611" w:type="dxa"/>
          </w:tcPr>
          <w:p w14:paraId="57573C69">
            <w:pPr>
              <w:rPr>
                <w:rFonts w:hint="default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vertAlign w:val="baseline"/>
                <w:lang w:val="en-US" w:eastAsia="zh-CN"/>
              </w:rPr>
              <w:t>北京碧兴源物业管理有限公司</w:t>
            </w:r>
          </w:p>
        </w:tc>
      </w:tr>
      <w:tr w14:paraId="3659A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6CA4E11F">
            <w:pPr>
              <w:jc w:val="center"/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建筑及规划</w:t>
            </w:r>
          </w:p>
        </w:tc>
        <w:tc>
          <w:tcPr>
            <w:tcW w:w="5611" w:type="dxa"/>
          </w:tcPr>
          <w:p w14:paraId="655EF984">
            <w:pP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住宅</w:t>
            </w:r>
          </w:p>
        </w:tc>
      </w:tr>
      <w:tr w14:paraId="64A36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gridSpan w:val="2"/>
          </w:tcPr>
          <w:p w14:paraId="38EE8F61">
            <w:pPr>
              <w:jc w:val="center"/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小区建成年限</w:t>
            </w:r>
          </w:p>
        </w:tc>
        <w:tc>
          <w:tcPr>
            <w:tcW w:w="5611" w:type="dxa"/>
          </w:tcPr>
          <w:p w14:paraId="18BC8AF2">
            <w:pP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2003</w:t>
            </w:r>
          </w:p>
        </w:tc>
      </w:tr>
      <w:tr w14:paraId="487CC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911" w:type="dxa"/>
            <w:gridSpan w:val="2"/>
          </w:tcPr>
          <w:p w14:paraId="06F603A9">
            <w:pPr>
              <w:jc w:val="center"/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容积率</w:t>
            </w:r>
          </w:p>
        </w:tc>
        <w:tc>
          <w:tcPr>
            <w:tcW w:w="5611" w:type="dxa"/>
          </w:tcPr>
          <w:p w14:paraId="0B54D9BF">
            <w:pP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5</w:t>
            </w:r>
          </w:p>
        </w:tc>
      </w:tr>
      <w:tr w14:paraId="2BFEA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</w:tcPr>
          <w:p w14:paraId="7448478B">
            <w:pPr>
              <w:jc w:val="center"/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有关说明</w:t>
            </w:r>
          </w:p>
        </w:tc>
        <w:tc>
          <w:tcPr>
            <w:tcW w:w="7106" w:type="dxa"/>
            <w:gridSpan w:val="2"/>
          </w:tcPr>
          <w:p w14:paraId="44DD3D88">
            <w:pP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提请金融机构注意:</w:t>
            </w:r>
          </w:p>
          <w:p w14:paraId="11868CD0">
            <w:pP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①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由于未对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对象进行现场勘查和其他必要的了解，本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报告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中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对象房产状况信息均为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参考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，本次价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值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为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人员参照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对象周边地区类似物业情况所作出的初步判断。如房屋实际情况与提供的信息有所差异时，将对价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值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造成影响，准确数值应以经过现场勘查后出具的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报告结论为准。</w:t>
            </w:r>
          </w:p>
          <w:p w14:paraId="3CBF35DC">
            <w:pP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②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本次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以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对象不存在偏离市场的长期租约、居住权及影响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结论的债权债务关系为假设前提条件。</w:t>
            </w:r>
          </w:p>
          <w:p w14:paraId="1A17A7A0">
            <w:pP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③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本次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以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对象不存在影响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结论和变现能力的物理结构变化为假设前提条件。</w:t>
            </w:r>
          </w:p>
          <w:p w14:paraId="06E2E574">
            <w:pP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④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本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分析报告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所列示的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结果为参考性价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值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，仅供委托人内部了解其价值时点价值做参考。</w:t>
            </w:r>
          </w:p>
          <w:p w14:paraId="5DCD614B">
            <w:pP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⑤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本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分析报告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的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房产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价值仅为参考结果，不具有最终的法律效力。</w:t>
            </w:r>
          </w:p>
          <w:p w14:paraId="7114B1BB">
            <w:pP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⑥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本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分析报告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所依据的权属及其它证明材料，如因资料失实导致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结果失真，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机构不承担相应的责任。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人员未能对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对象权属证明资料进行核对，提请金融机构注意。</w:t>
            </w:r>
          </w:p>
        </w:tc>
      </w:tr>
      <w:tr w14:paraId="3B9C7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</w:tcPr>
          <w:p w14:paraId="3B4FC55C">
            <w:pP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本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价值报</w:t>
            </w:r>
            <w:r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  <w:t>告</w:t>
            </w:r>
            <w:r>
              <w:rPr>
                <w:rFonts w:hint="default"/>
                <w:sz w:val="20"/>
                <w:szCs w:val="22"/>
                <w:vertAlign w:val="baseline"/>
                <w:lang w:val="en-US" w:eastAsia="zh-CN"/>
              </w:rPr>
              <w:t>有效期</w:t>
            </w:r>
          </w:p>
        </w:tc>
        <w:tc>
          <w:tcPr>
            <w:tcW w:w="7106" w:type="dxa"/>
            <w:gridSpan w:val="2"/>
          </w:tcPr>
          <w:p w14:paraId="67768C54">
            <w:pP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本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分析报告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自出具之日起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当月内有效，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但在此期间市场变化较快或国家经济、城市规划、相关税费和银行利率发生变化，应重新</w:t>
            </w:r>
            <w:r>
              <w:rPr>
                <w:rFonts w:hint="eastAsia"/>
                <w:sz w:val="20"/>
                <w:szCs w:val="22"/>
                <w:highlight w:val="none"/>
                <w:vertAlign w:val="baseline"/>
                <w:lang w:val="en-US" w:eastAsia="zh-CN"/>
              </w:rPr>
              <w:t>分析</w:t>
            </w:r>
            <w:r>
              <w:rPr>
                <w:rFonts w:hint="default"/>
                <w:sz w:val="20"/>
                <w:szCs w:val="22"/>
                <w:highlight w:val="none"/>
                <w:vertAlign w:val="baseline"/>
                <w:lang w:val="en-US" w:eastAsia="zh-CN"/>
              </w:rPr>
              <w:t>。</w:t>
            </w:r>
          </w:p>
        </w:tc>
      </w:tr>
    </w:tbl>
    <w:p w14:paraId="6AC53C57">
      <w:pPr>
        <w:rPr>
          <w:rFonts w:hint="default"/>
          <w:lang w:val="en-US" w:eastAsia="zh-CN"/>
        </w:rPr>
      </w:pPr>
    </w:p>
    <w:p w14:paraId="6ACBE4FF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我公司本着客观、公正、公平的原则，出具</w:t>
      </w:r>
      <w:r>
        <w:rPr>
          <w:rFonts w:hint="eastAsia"/>
          <w:sz w:val="20"/>
          <w:szCs w:val="22"/>
          <w:vertAlign w:val="baseline"/>
          <w:lang w:val="en-US" w:eastAsia="zh-CN"/>
        </w:rPr>
        <w:t>分析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结果报告。</w:t>
      </w:r>
    </w:p>
    <w:p w14:paraId="445BC679"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99E8693">
      <w:pPr>
        <w:ind w:firstLine="420" w:firstLineChars="200"/>
        <w:jc w:val="righ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北京友谱网络科技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有限公司</w:t>
      </w:r>
    </w:p>
    <w:p w14:paraId="768F23C0">
      <w:pPr>
        <w:ind w:firstLine="420" w:firstLineChars="200"/>
        <w:jc w:val="righ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</w:t>
      </w:r>
      <w:r>
        <w:rPr>
          <w:sz w:val="21"/>
          <w:u w:val="single"/>
        </w:rPr>
        <w:t>2026</w:t>
      </w:r>
      <w:r>
        <w:rPr>
          <w:sz w:val="21"/>
          <w:u w:val="single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年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  </w:t>
      </w:r>
      <w:r>
        <w:rPr>
          <w:sz w:val="21"/>
          <w:u w:val="single"/>
        </w:rPr>
        <w:t>03</w:t>
      </w:r>
      <w:r>
        <w:rPr>
          <w:sz w:val="21"/>
          <w:u w:val="single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月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   </w:t>
      </w:r>
      <w:r>
        <w:rPr>
          <w:sz w:val="21"/>
          <w:u w:val="single"/>
        </w:rPr>
        <w:t>17</w:t>
      </w:r>
      <w:r>
        <w:rPr>
          <w:sz w:val="21"/>
          <w:u w:val="single"/>
        </w:rPr>
        <w:t xml:space="preserve">  </w:t>
      </w:r>
      <w:r>
        <w:rPr>
          <w:rFonts w:hint="eastAsia" w:asciiTheme="minorEastAsia" w:hAnsiTheme="minorEastAsia" w:cstheme="minorEastAsia"/>
          <w:sz w:val="21"/>
          <w:szCs w:val="21"/>
          <w:u w:val="none"/>
          <w:lang w:val="en-US" w:eastAsia="zh-CN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23CE1"/>
    <w:rsid w:val="02AB78A7"/>
    <w:rsid w:val="066023D4"/>
    <w:rsid w:val="12EF558E"/>
    <w:rsid w:val="17BD34B8"/>
    <w:rsid w:val="1D473FD7"/>
    <w:rsid w:val="1F1E63BE"/>
    <w:rsid w:val="21AE4866"/>
    <w:rsid w:val="291B0A33"/>
    <w:rsid w:val="29F128F3"/>
    <w:rsid w:val="2E814DED"/>
    <w:rsid w:val="2EA56626"/>
    <w:rsid w:val="2FD7142C"/>
    <w:rsid w:val="30A733E9"/>
    <w:rsid w:val="3140739E"/>
    <w:rsid w:val="357758AA"/>
    <w:rsid w:val="37345A57"/>
    <w:rsid w:val="3F4A2F91"/>
    <w:rsid w:val="3F8A3472"/>
    <w:rsid w:val="40477F08"/>
    <w:rsid w:val="43104D3E"/>
    <w:rsid w:val="43407B62"/>
    <w:rsid w:val="4B517E8D"/>
    <w:rsid w:val="4CD9485F"/>
    <w:rsid w:val="53E613AC"/>
    <w:rsid w:val="54520EFE"/>
    <w:rsid w:val="54A80541"/>
    <w:rsid w:val="55384073"/>
    <w:rsid w:val="556F6D56"/>
    <w:rsid w:val="562411DF"/>
    <w:rsid w:val="57543A68"/>
    <w:rsid w:val="5C415FC9"/>
    <w:rsid w:val="65BD51E6"/>
    <w:rsid w:val="67EB7F7F"/>
    <w:rsid w:val="6BBB1626"/>
    <w:rsid w:val="6BE24E05"/>
    <w:rsid w:val="71664EBF"/>
    <w:rsid w:val="718F29F6"/>
    <w:rsid w:val="7563ABB1"/>
    <w:rsid w:val="78B67227"/>
    <w:rsid w:val="797FFE38"/>
    <w:rsid w:val="7EFE7C88"/>
    <w:rsid w:val="7FFF6EB2"/>
    <w:rsid w:val="AD7B9741"/>
    <w:rsid w:val="BDABFC49"/>
    <w:rsid w:val="E7FFA5AE"/>
    <w:rsid w:val="EF650359"/>
    <w:rsid w:val="F6FC6ABC"/>
    <w:rsid w:val="F7EB2A29"/>
    <w:rsid w:val="F7FE5B16"/>
    <w:rsid w:val="FFE1D3AE"/>
    <w:rsid w:val="FFFEADC9"/>
    <w:rsid w:val="FFFFF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818</Words>
  <Characters>1289</Characters>
  <Lines>0</Lines>
  <Paragraphs>0</Paragraphs>
  <TotalTime>0</TotalTime>
  <ScaleCrop>false</ScaleCrop>
  <LinksUpToDate>false</LinksUpToDate>
  <CharactersWithSpaces>1376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2026-03-04T02:48:00Z</dcterms:created>
  <dc:creator>86131</dc:creator>
  <cp:lastModifiedBy>李勇亮</cp:lastModifiedBy>
  <cp:lastPrinted>2026-03-16T09:30:00Z</cp:lastPrinted>
  <dcterms:modified xsi:type="dcterms:W3CDTF">2026-04-24T08:04:10Z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eyJoZGlkIjoiMjAwYTg0OGRjMmMwODk3NjU5ZGJlMTc2ZGU2NGQyODEiLCJ1c2VySWQiOiIxNzQ1ODg1NzM1In0=</vt:lpwstr>
  </property>
  <property fmtid="{D5CDD505-2E9C-101B-9397-08002B2CF9AE}" pid="4" name="ICV">
    <vt:lpwstr>A1C75D61A5654B028D04CB8F3324D204_13</vt:lpwstr>
  </property>
</Properties>
</file>