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837E3">
      <w:pPr>
        <w:spacing w:before="0" w:after="80"/>
        <w:jc w:val="center"/>
        <w:rPr>
          <w:rFonts w:ascii="微软雅黑" w:hAnsi="微软雅黑" w:eastAsia="微软雅黑"/>
          <w:b/>
          <w:color w:val="1F3A68"/>
          <w:sz w:val="28"/>
        </w:rPr>
      </w:pPr>
      <w:r>
        <w:rPr>
          <w:rFonts w:ascii="微软雅黑" w:hAnsi="微软雅黑" w:eastAsia="微软雅黑"/>
          <w:b/>
          <w:color w:val="1F3A68"/>
          <w:sz w:val="28"/>
        </w:rPr>
        <w:t>推动"投/研/改/运"升级为江苏租赁行业标准</w:t>
      </w:r>
    </w:p>
    <w:p w14:paraId="5579C1B5">
      <w:pPr>
        <w:spacing w:before="0" w:after="80"/>
        <w:jc w:val="center"/>
        <w:rPr>
          <w:rFonts w:ascii="微软雅黑" w:hAnsi="微软雅黑" w:eastAsia="微软雅黑"/>
          <w:b/>
          <w:color w:val="1F3A68"/>
          <w:sz w:val="28"/>
        </w:rPr>
      </w:pPr>
    </w:p>
    <w:p w14:paraId="721889E7">
      <w:pPr>
        <w:spacing w:before="0" w:after="40" w:line="276" w:lineRule="auto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hint="eastAsia"/>
          <w:sz w:val="20"/>
          <w:lang w:val="en-US" w:eastAsia="zh-CN"/>
        </w:rPr>
        <w:t>基于前序沟通，江苏省住建厅主要领导，主动提出来增量保租房交给贝壳运营。其中江苏省目前总盘 68 万套，存量可合作可对接的 10%（约 6.8 万套），未来一年新增 16 万套，合计 20万套以上。借助这一契机，我们探索如何把合作从单纯的招租和租务，升级为更高标准的行业规范。信托垫资+装修改造+托管</w:t>
      </w:r>
      <w:r>
        <w:rPr>
          <w:rFonts w:ascii="微软雅黑" w:hAnsi="微软雅黑" w:eastAsia="微软雅黑"/>
          <w:sz w:val="20"/>
        </w:rPr>
        <w:t>经过一年多项目探索，已沉淀出可被政府、城投、金融机构三方接受的"投/研/改/运"四字诀打法</w:t>
      </w:r>
      <w:r>
        <w:rPr>
          <w:rFonts w:hint="eastAsia"/>
          <w:sz w:val="20"/>
          <w:lang w:eastAsia="zh-CN"/>
        </w:rPr>
        <w:t>。</w:t>
      </w:r>
      <w:r>
        <w:rPr>
          <w:rFonts w:ascii="微软雅黑" w:hAnsi="微软雅黑" w:eastAsia="微软雅黑"/>
          <w:sz w:val="20"/>
        </w:rPr>
        <w:t>本文同步行业现状、标准化提升、</w:t>
      </w:r>
      <w:r>
        <w:rPr>
          <w:rFonts w:hint="eastAsia"/>
          <w:sz w:val="20"/>
          <w:highlight w:val="green"/>
          <w:lang w:val="en-US" w:eastAsia="zh-CN"/>
        </w:rPr>
        <w:t>社会效益，以及</w:t>
      </w:r>
      <w:r>
        <w:rPr>
          <w:rFonts w:ascii="微软雅黑" w:hAnsi="微软雅黑" w:eastAsia="微软雅黑"/>
          <w:sz w:val="20"/>
          <w:highlight w:val="yellow"/>
        </w:rPr>
        <w:t>对贝壳的商业回报。</w:t>
      </w:r>
    </w:p>
    <w:p w14:paraId="5CB1A84E">
      <w:pPr>
        <w:spacing w:before="120" w:after="60" w:line="276" w:lineRule="auto"/>
      </w:pPr>
      <w:r>
        <w:rPr>
          <w:rFonts w:ascii="微软雅黑" w:hAnsi="微软雅黑" w:eastAsia="微软雅黑"/>
          <w:b/>
          <w:color w:val="1F3A68"/>
          <w:sz w:val="24"/>
        </w:rPr>
        <w:t>一、投｜资金标准化</w:t>
      </w:r>
    </w:p>
    <w:p w14:paraId="04F970F8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行业原状</w:t>
      </w:r>
      <w:r>
        <w:rPr>
          <w:rFonts w:ascii="微软雅黑" w:hAnsi="微软雅黑" w:eastAsia="微软雅黑"/>
          <w:sz w:val="20"/>
        </w:rPr>
        <w:t>：国央企存量资产改造要么挤占现金流、要么贷款增加有息负债，资金障碍是项目启动第一道门槛，招采流程复杂、机构层次不齐是效率的第二道门槛。</w:t>
      </w:r>
    </w:p>
    <w:p w14:paraId="4C7D701D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标准提升</w:t>
      </w:r>
      <w:r>
        <w:rPr>
          <w:rFonts w:ascii="微软雅黑" w:hAnsi="微软雅黑" w:eastAsia="微软雅黑"/>
          <w:sz w:val="20"/>
          <w:highlight w:val="cyan"/>
        </w:rPr>
        <w:t>：信托前期垫资+后期运营回款偿付成为省级标准化资金工具箱，政府零财政、国资零垫资即可启动改造；信托产品、贴息口径与机构互信由省委金融办、人行江苏分行牵头形成统一框架。</w:t>
      </w:r>
    </w:p>
    <w:p w14:paraId="1E3CB4B6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  <w:highlight w:val="green"/>
        </w:rPr>
        <w:t>· 社会效益</w:t>
      </w:r>
      <w:r>
        <w:rPr>
          <w:rFonts w:ascii="微软雅黑" w:hAnsi="微软雅黑" w:eastAsia="微软雅黑"/>
          <w:sz w:val="20"/>
          <w:highlight w:val="green"/>
        </w:rPr>
        <w:t>：解开"国资闲置改不动"的结构性卡点，加速保租房供给扩容。</w:t>
      </w:r>
    </w:p>
    <w:p w14:paraId="4F3FD8CD">
      <w:pPr>
        <w:spacing w:before="0" w:after="40" w:line="276" w:lineRule="auto"/>
        <w:ind w:left="113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b/>
          <w:sz w:val="20"/>
          <w:highlight w:val="yellow"/>
        </w:rPr>
        <w:t>· 经济效益</w:t>
      </w:r>
      <w:r>
        <w:rPr>
          <w:rFonts w:ascii="微软雅黑" w:hAnsi="微软雅黑" w:eastAsia="微软雅黑"/>
          <w:sz w:val="20"/>
          <w:highlight w:val="yellow"/>
        </w:rPr>
        <w:t>：</w:t>
      </w:r>
      <w:r>
        <w:rPr>
          <w:rFonts w:ascii="微软雅黑" w:hAnsi="微软雅黑" w:eastAsia="微软雅黑"/>
          <w:b/>
          <w:sz w:val="20"/>
          <w:highlight w:val="yellow"/>
        </w:rPr>
        <w:t>合作半径从单项目扩至城市级、再到全省级</w:t>
      </w:r>
      <w:r>
        <w:rPr>
          <w:rFonts w:ascii="微软雅黑" w:hAnsi="微软雅黑" w:eastAsia="微软雅黑"/>
          <w:sz w:val="20"/>
          <w:highlight w:val="yellow"/>
        </w:rPr>
        <w:t>，直接决定规模上限。</w:t>
      </w:r>
    </w:p>
    <w:p w14:paraId="7E549522">
      <w:pPr>
        <w:spacing w:before="0" w:after="40" w:line="276" w:lineRule="auto"/>
        <w:rPr>
          <w:rFonts w:ascii="微软雅黑" w:hAnsi="微软雅黑" w:eastAsia="微软雅黑"/>
          <w:sz w:val="20"/>
        </w:rPr>
      </w:pPr>
    </w:p>
    <w:p w14:paraId="0AB23F6B">
      <w:pPr>
        <w:spacing w:before="120" w:after="60" w:line="276" w:lineRule="auto"/>
      </w:pPr>
      <w:r>
        <w:rPr>
          <w:rFonts w:ascii="微软雅黑" w:hAnsi="微软雅黑" w:eastAsia="微软雅黑"/>
          <w:b/>
          <w:color w:val="1F3A68"/>
          <w:sz w:val="24"/>
          <w:highlight w:val="cyan"/>
        </w:rPr>
        <w:t>二、研｜数据与研判标准化（含数据治理委员会）</w:t>
      </w:r>
    </w:p>
    <w:p w14:paraId="09010B4C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行业原状</w:t>
      </w:r>
      <w:r>
        <w:rPr>
          <w:rFonts w:ascii="微软雅黑" w:hAnsi="微软雅黑" w:eastAsia="微软雅黑"/>
          <w:sz w:val="20"/>
        </w:rPr>
        <w:t>：房源字段各自为战、价格无锚、巡查漏水维修等全周期数据几乎缺失，行业也没有省级供需与租金研判工具。</w:t>
      </w:r>
    </w:p>
    <w:p w14:paraId="76E76569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标准提升</w:t>
      </w:r>
      <w:r>
        <w:rPr>
          <w:rFonts w:ascii="微软雅黑" w:hAnsi="微软雅黑" w:eastAsia="微软雅黑"/>
          <w:sz w:val="20"/>
        </w:rPr>
        <w:t>：以住建口径建立</w:t>
      </w:r>
      <w:r>
        <w:rPr>
          <w:rFonts w:ascii="微软雅黑" w:hAnsi="微软雅黑" w:eastAsia="微软雅黑"/>
          <w:b/>
          <w:sz w:val="20"/>
          <w:highlight w:val="cyan"/>
        </w:rPr>
        <w:t>统一房屋数据字典</w:t>
      </w:r>
      <w:r>
        <w:rPr>
          <w:rFonts w:ascii="微软雅黑" w:hAnsi="微软雅黑" w:eastAsia="微软雅黑"/>
          <w:sz w:val="20"/>
        </w:rPr>
        <w:t>（静态披露字段+动态运营记录）+价格红线+合同备案模板；</w:t>
      </w:r>
      <w:r>
        <w:rPr>
          <w:rFonts w:ascii="微软雅黑" w:hAnsi="微软雅黑" w:eastAsia="微软雅黑"/>
          <w:b/>
          <w:sz w:val="20"/>
          <w:highlight w:val="cyan"/>
        </w:rPr>
        <w:t>贝壳承担省级市场研判能力建设</w:t>
      </w:r>
      <w:r>
        <w:rPr>
          <w:rFonts w:ascii="微软雅黑" w:hAnsi="微软雅黑" w:eastAsia="微软雅黑"/>
          <w:sz w:val="20"/>
        </w:rPr>
        <w:t>——租赁供需预测、户型与产品定位预测、租金与房价评估，输出物作为面向住建、金融机构、城投、媒体协会的</w:t>
      </w:r>
      <w:r>
        <w:rPr>
          <w:rFonts w:ascii="微软雅黑" w:hAnsi="微软雅黑" w:eastAsia="微软雅黑"/>
          <w:b/>
          <w:sz w:val="20"/>
          <w:highlight w:val="cyan"/>
        </w:rPr>
        <w:t>公共数据产品</w:t>
      </w:r>
      <w:r>
        <w:rPr>
          <w:rFonts w:ascii="微软雅黑" w:hAnsi="微软雅黑" w:eastAsia="微软雅黑"/>
          <w:sz w:val="20"/>
        </w:rPr>
        <w:t>。</w:t>
      </w:r>
    </w:p>
    <w:p w14:paraId="26459837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治理机制</w:t>
      </w:r>
      <w:r>
        <w:rPr>
          <w:rFonts w:ascii="微软雅黑" w:hAnsi="微软雅黑" w:eastAsia="微软雅黑"/>
          <w:sz w:val="20"/>
        </w:rPr>
        <w:t>：成立</w:t>
      </w:r>
      <w:r>
        <w:rPr>
          <w:rFonts w:ascii="微软雅黑" w:hAnsi="微软雅黑" w:eastAsia="微软雅黑"/>
          <w:b/>
          <w:sz w:val="20"/>
          <w:highlight w:val="cyan"/>
        </w:rPr>
        <w:t>江苏住房租赁数据治理委员会</w:t>
      </w:r>
      <w:r>
        <w:rPr>
          <w:rFonts w:ascii="微软雅黑" w:hAnsi="微软雅黑" w:eastAsia="微软雅黑"/>
          <w:sz w:val="20"/>
        </w:rPr>
        <w:t>（住建主导、贝壳承建、引入</w:t>
      </w:r>
      <w:r>
        <w:rPr>
          <w:rFonts w:hint="eastAsia"/>
          <w:sz w:val="20"/>
          <w:lang w:val="en-US" w:eastAsia="zh-CN"/>
        </w:rPr>
        <w:t>清华大学/</w:t>
      </w:r>
      <w:bookmarkStart w:id="0" w:name="_GoBack"/>
      <w:bookmarkEnd w:id="0"/>
      <w:r>
        <w:rPr>
          <w:rFonts w:ascii="微软雅黑" w:hAnsi="微软雅黑" w:eastAsia="微软雅黑"/>
          <w:sz w:val="20"/>
        </w:rPr>
        <w:t>江苏省社科院/东南大学/省房协等第三方），月报与研判模型口径接受第三方审计与质询，避免单源公信力风险。</w:t>
      </w:r>
    </w:p>
    <w:p w14:paraId="499E6D52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  <w:highlight w:val="green"/>
        </w:rPr>
        <w:t>· 社会效益</w:t>
      </w:r>
      <w:r>
        <w:rPr>
          <w:rFonts w:ascii="微软雅黑" w:hAnsi="微软雅黑" w:eastAsia="微软雅黑"/>
          <w:sz w:val="20"/>
          <w:highlight w:val="green"/>
        </w:rPr>
        <w:t>：找保租房成为全省统一、透明、合规、有兜底的体验。</w:t>
      </w:r>
    </w:p>
    <w:p w14:paraId="0241B221">
      <w:pPr>
        <w:spacing w:before="0" w:after="40" w:line="276" w:lineRule="auto"/>
        <w:ind w:left="113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b/>
          <w:sz w:val="20"/>
          <w:highlight w:val="yellow"/>
        </w:rPr>
        <w:t>· 经济效益</w:t>
      </w:r>
      <w:r>
        <w:rPr>
          <w:rFonts w:ascii="微软雅黑" w:hAnsi="微软雅黑" w:eastAsia="微软雅黑"/>
          <w:sz w:val="20"/>
          <w:highlight w:val="yellow"/>
        </w:rPr>
        <w:t>：字典与研判模型沉淀为</w:t>
      </w:r>
      <w:r>
        <w:rPr>
          <w:rFonts w:ascii="微软雅黑" w:hAnsi="微软雅黑" w:eastAsia="微软雅黑"/>
          <w:b/>
          <w:sz w:val="20"/>
          <w:highlight w:val="yellow"/>
        </w:rPr>
        <w:t>贝壳的长期数据资产</w:t>
      </w:r>
      <w:r>
        <w:rPr>
          <w:rFonts w:ascii="微软雅黑" w:hAnsi="微软雅黑" w:eastAsia="微软雅黑"/>
          <w:sz w:val="20"/>
          <w:highlight w:val="yellow"/>
        </w:rPr>
        <w:t>——为内部信用、风控、资管与未来 REITs 估值提供数据基础，公信力依靠第三方背书而非单源垄断。</w:t>
      </w:r>
    </w:p>
    <w:p w14:paraId="66BD2E21">
      <w:pPr>
        <w:spacing w:before="0" w:after="40" w:line="276" w:lineRule="auto"/>
        <w:ind w:left="113"/>
        <w:rPr>
          <w:rFonts w:ascii="微软雅黑" w:hAnsi="微软雅黑" w:eastAsia="微软雅黑"/>
          <w:sz w:val="20"/>
        </w:rPr>
      </w:pPr>
    </w:p>
    <w:p w14:paraId="1527EFFD">
      <w:pPr>
        <w:spacing w:before="120" w:after="60" w:line="276" w:lineRule="auto"/>
      </w:pPr>
      <w:r>
        <w:rPr>
          <w:rFonts w:ascii="微软雅黑" w:hAnsi="微软雅黑" w:eastAsia="微软雅黑"/>
          <w:b/>
          <w:color w:val="1F3A68"/>
          <w:sz w:val="24"/>
          <w:highlight w:val="cyan"/>
        </w:rPr>
        <w:t>三、改｜好房子四维度+市级统一服务平台+接入三标准化（含同业开放）</w:t>
      </w:r>
    </w:p>
    <w:p w14:paraId="1616E578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行业原状</w:t>
      </w:r>
      <w:r>
        <w:rPr>
          <w:rFonts w:ascii="微软雅黑" w:hAnsi="微软雅黑" w:eastAsia="微软雅黑"/>
          <w:sz w:val="20"/>
        </w:rPr>
        <w:t>：项目主体禀赋差异大、无标准接入路径；改造端品质良莠不齐、物资与供应链标准缺位；保租房无市级统一入口、租客找房难、政府监管难。</w:t>
      </w:r>
    </w:p>
    <w:p w14:paraId="4E6903CA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标准提升</w:t>
      </w:r>
      <w:r>
        <w:rPr>
          <w:rFonts w:ascii="微软雅黑" w:hAnsi="微软雅黑" w:eastAsia="微软雅黑"/>
          <w:sz w:val="20"/>
        </w:rPr>
        <w:t xml:space="preserve">：① </w:t>
      </w:r>
      <w:r>
        <w:rPr>
          <w:rFonts w:ascii="微软雅黑" w:hAnsi="微软雅黑" w:eastAsia="微软雅黑"/>
          <w:b/>
          <w:sz w:val="20"/>
        </w:rPr>
        <w:t>住建</w:t>
      </w:r>
      <w:r>
        <w:rPr>
          <w:rFonts w:hint="eastAsia"/>
          <w:b/>
          <w:sz w:val="20"/>
          <w:lang w:val="en-US" w:eastAsia="zh-CN"/>
        </w:rPr>
        <w:t>+</w:t>
      </w:r>
      <w:r>
        <w:rPr>
          <w:rFonts w:ascii="微软雅黑" w:hAnsi="微软雅黑" w:eastAsia="微软雅黑"/>
          <w:b/>
          <w:sz w:val="20"/>
        </w:rPr>
        <w:t>中房协+贝壳+同业机构代表</w:t>
      </w:r>
      <w:r>
        <w:rPr>
          <w:rFonts w:ascii="微软雅黑" w:hAnsi="微软雅黑" w:eastAsia="微软雅黑"/>
          <w:sz w:val="20"/>
          <w:highlight w:val="cyan"/>
        </w:rPr>
        <w:t>联合牵头"好房子"统一标准——围绕舒适、绿色、科技、安全四个维度，建立物资标准认证与供应链准入认证体系；</w:t>
      </w:r>
      <w:r>
        <w:rPr>
          <w:rFonts w:ascii="微软雅黑" w:hAnsi="微软雅黑" w:eastAsia="微软雅黑"/>
          <w:b/>
          <w:sz w:val="20"/>
          <w:highlight w:val="cyan"/>
        </w:rPr>
        <w:t>贝壳供应链平台作为首批参考实现</w:t>
      </w:r>
      <w:r>
        <w:rPr>
          <w:rFonts w:ascii="微软雅黑" w:hAnsi="微软雅黑" w:eastAsia="微软雅黑"/>
          <w:sz w:val="20"/>
        </w:rPr>
        <w:t xml:space="preserve">，对其他符合资质的供应链开放接入与互认；② </w:t>
      </w:r>
      <w:r>
        <w:rPr>
          <w:rFonts w:ascii="微软雅黑" w:hAnsi="微软雅黑" w:eastAsia="微软雅黑"/>
          <w:b/>
          <w:sz w:val="20"/>
          <w:highlight w:val="cyan"/>
        </w:rPr>
        <w:t>住建主导、贝壳承建市级保租房统一服务平台</w:t>
      </w:r>
      <w:r>
        <w:rPr>
          <w:rFonts w:ascii="微软雅黑" w:hAnsi="微软雅黑" w:eastAsia="微软雅黑"/>
          <w:sz w:val="20"/>
        </w:rPr>
        <w:t>（贝壳APP/小程序"本市保租房专区"+住建认证标识），</w:t>
      </w:r>
      <w:r>
        <w:rPr>
          <w:rFonts w:ascii="微软雅黑" w:hAnsi="微软雅黑" w:eastAsia="微软雅黑"/>
          <w:b/>
          <w:sz w:val="20"/>
        </w:rPr>
        <w:t>对自如、龙湖冠寓、华润有巢、招商伊敦等机构按同等资质开放接入</w:t>
      </w:r>
      <w:r>
        <w:rPr>
          <w:rFonts w:ascii="微软雅黑" w:hAnsi="微软雅黑" w:eastAsia="微软雅黑"/>
          <w:sz w:val="20"/>
          <w:highlight w:val="cyan"/>
        </w:rPr>
        <w:t>，市级数据库由各项目按统一API/Excel模板推送、贝壳清洗验真上架、住建后台只读监管；③ 三种接入模式并行（自营/总代监管/深度托管）+6-8周SLA+</w:t>
      </w:r>
      <w:r>
        <w:rPr>
          <w:rFonts w:ascii="微软雅黑" w:hAnsi="微软雅黑" w:eastAsia="微软雅黑"/>
          <w:b/>
          <w:sz w:val="20"/>
        </w:rPr>
        <w:t>统一 API（接入文档对外公开）</w:t>
      </w:r>
      <w:r>
        <w:rPr>
          <w:rFonts w:ascii="微软雅黑" w:hAnsi="微软雅黑" w:eastAsia="微软雅黑"/>
          <w:sz w:val="20"/>
        </w:rPr>
        <w:t>。</w:t>
      </w:r>
    </w:p>
    <w:p w14:paraId="1F8B1F96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合规底线</w:t>
      </w:r>
      <w:r>
        <w:rPr>
          <w:rFonts w:ascii="微软雅黑" w:hAnsi="微软雅黑" w:eastAsia="微软雅黑"/>
          <w:sz w:val="20"/>
        </w:rPr>
        <w:t xml:space="preserve">：所有"省级标准"条款接受市场监管局公平竞争审查；贝壳承建平台与运营业务设置 </w:t>
      </w:r>
      <w:r>
        <w:rPr>
          <w:rFonts w:ascii="微软雅黑" w:hAnsi="微软雅黑" w:eastAsia="微软雅黑"/>
          <w:b/>
          <w:sz w:val="20"/>
        </w:rPr>
        <w:t>3 年中期评估 + 5 年回看条款</w:t>
      </w:r>
      <w:r>
        <w:rPr>
          <w:rFonts w:ascii="微软雅黑" w:hAnsi="微软雅黑" w:eastAsia="微软雅黑"/>
          <w:sz w:val="20"/>
        </w:rPr>
        <w:t>——3 年中期对接入率/满意度/投诉率进行校验，5 年终评不达标住建有权重新招选承建方。</w:t>
      </w:r>
    </w:p>
    <w:p w14:paraId="6C84FF8B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  <w:highlight w:val="green"/>
        </w:rPr>
        <w:t>· 社会效益</w:t>
      </w:r>
      <w:r>
        <w:rPr>
          <w:rFonts w:ascii="微软雅黑" w:hAnsi="微软雅黑" w:eastAsia="微软雅黑"/>
          <w:sz w:val="20"/>
          <w:highlight w:val="green"/>
        </w:rPr>
        <w:t>：分散低效国资归集为市级可调度资产池；全市保租房一个入口、租客好找、政府好管；全省保租房在舒适/绿色/科技/安全四维度统一达到"好房子"标准。</w:t>
      </w:r>
    </w:p>
    <w:p w14:paraId="6B87156F">
      <w:pPr>
        <w:spacing w:before="0" w:after="40" w:line="276" w:lineRule="auto"/>
        <w:ind w:left="113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b/>
          <w:sz w:val="20"/>
          <w:highlight w:val="yellow"/>
        </w:rPr>
        <w:t>· 经济效益</w:t>
      </w:r>
      <w:r>
        <w:rPr>
          <w:rFonts w:ascii="微软雅黑" w:hAnsi="微软雅黑" w:eastAsia="微软雅黑"/>
          <w:sz w:val="20"/>
          <w:highlight w:val="yellow"/>
        </w:rPr>
        <w:t xml:space="preserve">：① 深度托管路径获完整经营权与议价权；② </w:t>
      </w:r>
      <w:r>
        <w:rPr>
          <w:rFonts w:ascii="微软雅黑" w:hAnsi="微软雅黑" w:eastAsia="微软雅黑"/>
          <w:b/>
          <w:sz w:val="20"/>
          <w:highlight w:val="yellow"/>
        </w:rPr>
        <w:t>承建方角色 = 贝壳从中介平台升级为政府合作的基础设施合作伙伴</w:t>
      </w:r>
      <w:r>
        <w:rPr>
          <w:rFonts w:ascii="微软雅黑" w:hAnsi="微软雅黑" w:eastAsia="微软雅黑"/>
          <w:sz w:val="20"/>
          <w:highlight w:val="yellow"/>
        </w:rPr>
        <w:t>，是品牌资产的根本性跃迁；③ 省级集采+物资与供应链准入认证带来单方造价显著下降，沉淀长期议价能力与规模效应。</w:t>
      </w:r>
    </w:p>
    <w:p w14:paraId="0B2D4179">
      <w:pPr>
        <w:spacing w:before="0" w:after="40" w:line="276" w:lineRule="auto"/>
        <w:ind w:left="113"/>
        <w:rPr>
          <w:rFonts w:ascii="微软雅黑" w:hAnsi="微软雅黑" w:eastAsia="微软雅黑"/>
          <w:sz w:val="20"/>
        </w:rPr>
      </w:pPr>
    </w:p>
    <w:p w14:paraId="0D49528C">
      <w:pPr>
        <w:spacing w:before="120" w:after="60" w:line="276" w:lineRule="auto"/>
      </w:pPr>
      <w:r>
        <w:rPr>
          <w:rFonts w:ascii="微软雅黑" w:hAnsi="微软雅黑" w:eastAsia="微软雅黑"/>
          <w:b/>
          <w:color w:val="1F3A68"/>
          <w:sz w:val="24"/>
          <w:highlight w:val="cyan"/>
        </w:rPr>
        <w:t>四、运｜服务标准化（含服务者认证+尽职免责）</w:t>
      </w:r>
    </w:p>
    <w:p w14:paraId="3AF04E2C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行业原状</w:t>
      </w:r>
      <w:r>
        <w:rPr>
          <w:rFonts w:ascii="微软雅黑" w:hAnsi="微软雅黑" w:eastAsia="微软雅黑"/>
          <w:sz w:val="20"/>
        </w:rPr>
        <w:t>：单项目运营空置长、押三付一负担重、家财换租风险无兜底；</w:t>
      </w:r>
      <w:r>
        <w:rPr>
          <w:rFonts w:ascii="微软雅黑" w:hAnsi="微软雅黑" w:eastAsia="微软雅黑"/>
          <w:b/>
          <w:sz w:val="20"/>
        </w:rPr>
        <w:t>服务人员良莠不齐、机构责任边界模糊</w:t>
      </w:r>
      <w:r>
        <w:rPr>
          <w:rFonts w:ascii="微软雅黑" w:hAnsi="微软雅黑" w:eastAsia="微软雅黑"/>
          <w:sz w:val="20"/>
        </w:rPr>
        <w:t>——要么承受不住各种成本跑路、要么被诉无限连带。</w:t>
      </w:r>
    </w:p>
    <w:p w14:paraId="651DA961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  <w:highlight w:val="cyan"/>
        </w:rPr>
        <w:t>· 标准提升：基于市级统一服务平台，① 全程网办（资格核验、房源展示、预约带看、签约备案、支付/维修）升格为省级标准服务；② 免押金/家财险/换租险三类金融保险写入标准动作、非可选，配合公积金直付便利月度支付，</w:t>
      </w:r>
      <w:r>
        <w:rPr>
          <w:rFonts w:hint="eastAsia"/>
          <w:b/>
          <w:sz w:val="20"/>
          <w:lang w:eastAsia="zh-CN"/>
        </w:rPr>
        <w:t>银行监管</w:t>
      </w:r>
      <w:r>
        <w:rPr>
          <w:rFonts w:ascii="微软雅黑" w:hAnsi="微软雅黑" w:eastAsia="微软雅黑"/>
          <w:b/>
          <w:sz w:val="20"/>
          <w:highlight w:val="cyan"/>
        </w:rPr>
        <w:t>作为支付通道之一；③ 服务者认证与机构从业资格——管家/带看/维修等关键岗位持证上岗、机构纳入住建白名单；“不动产资产规划师” 作为推荐行业认证之一（暂用名，最终以人社/住建联合认证名称为准）；④ 运营管理"勤勉尽职、尽职免责"——机构按SOP履职即视为已尽职，超SOP范围连带责任予以豁免；不可抗力、租客主观行为、第三方故意行为不计入连带责任；重大过失、系统性风险保留兜底追责，避免重蹈长租公寓暴雷覆辙。</w:t>
      </w:r>
    </w:p>
    <w:p w14:paraId="128F21AE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  <w:highlight w:val="green"/>
        </w:rPr>
        <w:t>· 社会效益</w:t>
      </w:r>
      <w:r>
        <w:rPr>
          <w:rFonts w:ascii="微软雅黑" w:hAnsi="微软雅黑" w:eastAsia="微软雅黑"/>
          <w:sz w:val="20"/>
          <w:highlight w:val="green"/>
        </w:rPr>
        <w:t>：服务可追溯、有责可问、租客权益有保障；保租房从"住有所居"升级到"住有宜居"。</w:t>
      </w:r>
    </w:p>
    <w:p w14:paraId="1D7431D8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  <w:highlight w:val="yellow"/>
        </w:rPr>
        <w:t>· 经济效益</w:t>
      </w:r>
      <w:r>
        <w:rPr>
          <w:rFonts w:ascii="微软雅黑" w:hAnsi="微软雅黑" w:eastAsia="微软雅黑"/>
          <w:sz w:val="20"/>
          <w:highlight w:val="yellow"/>
        </w:rPr>
        <w:t>：服务标准化让</w:t>
      </w:r>
      <w:r>
        <w:rPr>
          <w:rFonts w:ascii="微软雅黑" w:hAnsi="微软雅黑" w:eastAsia="微软雅黑"/>
          <w:b/>
          <w:sz w:val="20"/>
          <w:highlight w:val="yellow"/>
        </w:rPr>
        <w:t>规模化复制成为可能</w:t>
      </w:r>
      <w:r>
        <w:rPr>
          <w:rFonts w:ascii="微软雅黑" w:hAnsi="微软雅黑" w:eastAsia="微软雅黑"/>
          <w:sz w:val="20"/>
          <w:highlight w:val="yellow"/>
        </w:rPr>
        <w:t>；"尽职免责"让法律风险敞口可控——是贝壳大规模托管保租房的法律前提；叠加 8%服务费+流量沉淀+数据回流，形成"薄利多销+数据反哺+风险可控"的复合收益模型。</w:t>
      </w:r>
    </w:p>
    <w:p w14:paraId="15DE2158">
      <w:pPr>
        <w:spacing w:before="120" w:after="60" w:line="276" w:lineRule="auto"/>
      </w:pPr>
      <w:r>
        <w:rPr>
          <w:rFonts w:ascii="微软雅黑" w:hAnsi="微软雅黑" w:eastAsia="微软雅黑"/>
          <w:b/>
          <w:color w:val="1F3A68"/>
          <w:sz w:val="24"/>
        </w:rPr>
        <w:t>对内三项行动</w:t>
      </w:r>
    </w:p>
    <w:p w14:paraId="3DF5552C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 xml:space="preserve">1. </w:t>
      </w:r>
      <w:r>
        <w:rPr>
          <w:rFonts w:ascii="微软雅黑" w:hAnsi="微软雅黑" w:eastAsia="微软雅黑"/>
          <w:sz w:val="20"/>
          <w:highlight w:val="cyan"/>
        </w:rPr>
        <w:t>尽快锁定三个官方提法——"四字诀=江苏行业标准"、"贝壳承建市级保租房统一服务平台（住建主导）"、"贝壳供应链平台=好房子省级</w:t>
      </w:r>
      <w:r>
        <w:rPr>
          <w:rFonts w:ascii="微软雅黑" w:hAnsi="微软雅黑" w:eastAsia="微软雅黑"/>
          <w:b/>
          <w:sz w:val="20"/>
        </w:rPr>
        <w:t>首批参考实现</w:t>
      </w:r>
      <w:r>
        <w:rPr>
          <w:rFonts w:ascii="微软雅黑" w:hAnsi="微软雅黑" w:eastAsia="微软雅黑"/>
          <w:sz w:val="20"/>
        </w:rPr>
        <w:t>"，并争取"</w:t>
      </w:r>
      <w:r>
        <w:rPr>
          <w:rFonts w:ascii="微软雅黑" w:hAnsi="微软雅黑" w:eastAsia="微软雅黑"/>
          <w:b/>
          <w:sz w:val="20"/>
          <w:highlight w:val="cyan"/>
        </w:rPr>
        <w:t>尽职免责</w:t>
      </w:r>
      <w:r>
        <w:rPr>
          <w:rFonts w:ascii="微软雅黑" w:hAnsi="微软雅黑" w:eastAsia="微软雅黑"/>
          <w:sz w:val="20"/>
        </w:rPr>
        <w:t>"原则写入省住建运营管理细则（保留重大过失兜底）。</w:t>
      </w:r>
    </w:p>
    <w:p w14:paraId="200BC13B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 xml:space="preserve">2. </w:t>
      </w:r>
      <w:r>
        <w:rPr>
          <w:rFonts w:ascii="微软雅黑" w:hAnsi="微软雅黑" w:eastAsia="微软雅黑"/>
          <w:sz w:val="20"/>
        </w:rPr>
        <w:t>与住建厅明确具体保租房频道的建设方案，完成数据通道、备案回流等联调；同步与省委金融办、人行江苏分行确认</w:t>
      </w:r>
      <w:r>
        <w:rPr>
          <w:rFonts w:ascii="微软雅黑" w:hAnsi="微软雅黑" w:eastAsia="微软雅黑"/>
          <w:b/>
          <w:sz w:val="20"/>
        </w:rPr>
        <w:t>信托垫资+免押/家财/换租险+公积金直付+</w:t>
      </w:r>
      <w:r>
        <w:rPr>
          <w:rFonts w:hint="eastAsia"/>
          <w:b/>
          <w:sz w:val="20"/>
          <w:lang w:val="en-US" w:eastAsia="zh-CN"/>
        </w:rPr>
        <w:t>银行监管</w:t>
      </w:r>
      <w:r>
        <w:rPr>
          <w:rFonts w:ascii="微软雅黑" w:hAnsi="微软雅黑" w:eastAsia="微软雅黑"/>
          <w:sz w:val="20"/>
        </w:rPr>
        <w:t>的合规口径与监管层级。</w:t>
      </w:r>
    </w:p>
    <w:p w14:paraId="42AC7F34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 xml:space="preserve">3. </w:t>
      </w:r>
      <w:r>
        <w:rPr>
          <w:rFonts w:ascii="微软雅黑" w:hAnsi="微软雅黑" w:eastAsia="微软雅黑"/>
          <w:sz w:val="20"/>
          <w:highlight w:val="cyan"/>
        </w:rPr>
        <w:t>备齐深度托管模式的标准化交付包（含好房子标准编制工作小组、统一服务平台接入规范、</w:t>
      </w:r>
      <w:r>
        <w:rPr>
          <w:rFonts w:ascii="微软雅黑" w:hAnsi="微软雅黑" w:eastAsia="微软雅黑"/>
          <w:b/>
          <w:sz w:val="20"/>
        </w:rPr>
        <w:t>同业开放清单</w:t>
      </w:r>
      <w:r>
        <w:rPr>
          <w:rFonts w:ascii="微软雅黑" w:hAnsi="微软雅黑" w:eastAsia="微软雅黑"/>
          <w:sz w:val="20"/>
        </w:rPr>
        <w:t>、标杆项目梳理、服务者认证体系、市场月报等公共产品输出、</w:t>
      </w:r>
      <w:r>
        <w:rPr>
          <w:rFonts w:ascii="微软雅黑" w:hAnsi="微软雅黑" w:eastAsia="微软雅黑"/>
          <w:b/>
          <w:sz w:val="20"/>
        </w:rPr>
        <w:t>反垄断/招投标合规自查表</w:t>
      </w:r>
      <w:r>
        <w:rPr>
          <w:rFonts w:ascii="微软雅黑" w:hAnsi="微软雅黑" w:eastAsia="微软雅黑"/>
          <w:sz w:val="20"/>
        </w:rPr>
        <w:t>）。</w:t>
      </w:r>
    </w:p>
    <w:p w14:paraId="18651B98">
      <w:pPr>
        <w:rPr>
          <w:rFonts w:ascii="微软雅黑" w:hAnsi="微软雅黑" w:eastAsia="微软雅黑"/>
          <w:b/>
          <w:color w:val="1F3A68"/>
          <w:sz w:val="24"/>
        </w:rPr>
      </w:pPr>
      <w:r>
        <w:rPr>
          <w:rFonts w:ascii="微软雅黑" w:hAnsi="微软雅黑" w:eastAsia="微软雅黑"/>
          <w:b/>
          <w:color w:val="1F3A68"/>
          <w:sz w:val="24"/>
        </w:rPr>
        <w:br w:type="page"/>
      </w:r>
    </w:p>
    <w:p w14:paraId="6562E3E3">
      <w:pPr>
        <w:spacing w:before="120" w:after="60" w:line="276" w:lineRule="auto"/>
      </w:pPr>
      <w:r>
        <w:rPr>
          <w:rFonts w:ascii="微软雅黑" w:hAnsi="微软雅黑" w:eastAsia="微软雅黑"/>
          <w:b/>
          <w:color w:val="1F3A68"/>
          <w:sz w:val="24"/>
        </w:rPr>
        <w:t>【附 1】GR 线作业包：6+2（六个基建 + 两个公共产品）</w:t>
      </w:r>
    </w:p>
    <w:p w14:paraId="472C4926">
      <w:pPr>
        <w:spacing w:before="0" w:after="40" w:line="276" w:lineRule="auto"/>
      </w:pPr>
      <w:r>
        <w:rPr>
          <w:rFonts w:ascii="微软雅黑" w:hAnsi="微软雅黑" w:eastAsia="微软雅黑"/>
          <w:sz w:val="20"/>
        </w:rPr>
        <w:t>围绕 11 月发布会终点倒推——</w:t>
      </w:r>
      <w:r>
        <w:rPr>
          <w:rFonts w:ascii="微软雅黑" w:hAnsi="微软雅黑" w:eastAsia="微软雅黑"/>
          <w:b/>
          <w:sz w:val="20"/>
        </w:rPr>
        <w:t>6月白皮书 → 7月百人队伍 → 8月AI模型 → 9月外部推广 → 11月发布会</w:t>
      </w:r>
      <w:r>
        <w:rPr>
          <w:rFonts w:ascii="微软雅黑" w:hAnsi="微软雅黑" w:eastAsia="微软雅黑"/>
          <w:sz w:val="20"/>
        </w:rPr>
        <w:t>，集团已锁定"6+2"作业包：</w:t>
      </w:r>
      <w:r>
        <w:rPr>
          <w:rFonts w:ascii="微软雅黑" w:hAnsi="微软雅黑" w:eastAsia="微软雅黑"/>
          <w:b/>
          <w:sz w:val="20"/>
        </w:rPr>
        <w:t>六个基建</w:t>
      </w:r>
      <w:r>
        <w:rPr>
          <w:rFonts w:ascii="微软雅黑" w:hAnsi="微软雅黑" w:eastAsia="微软雅黑"/>
          <w:sz w:val="20"/>
        </w:rPr>
        <w:t>为传统 GR 交付物，</w:t>
      </w:r>
      <w:r>
        <w:rPr>
          <w:rFonts w:ascii="微软雅黑" w:hAnsi="微软雅黑" w:eastAsia="微软雅黑"/>
          <w:b/>
          <w:sz w:val="20"/>
        </w:rPr>
        <w:t>两个公共产品</w:t>
      </w:r>
      <w:r>
        <w:rPr>
          <w:rFonts w:ascii="微软雅黑" w:hAnsi="微软雅黑" w:eastAsia="微软雅黑"/>
          <w:sz w:val="20"/>
        </w:rPr>
        <w:t>（保租房频道 toC + 租赁市场月报 toG）为长期占位平台。本节把每项与四字诀逐一咬合，明确江苏侧GR抓手与关键动作：</w:t>
      </w:r>
    </w:p>
    <w:p w14:paraId="36D7DB73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1. 一个行业标准 [进行中]</w:t>
      </w:r>
      <w:r>
        <w:rPr>
          <w:rFonts w:ascii="微软雅黑" w:hAnsi="微软雅黑" w:eastAsia="微软雅黑"/>
          <w:sz w:val="20"/>
          <w:highlight w:val="cyan"/>
        </w:rPr>
        <w:t>——好房子评价标准立项通过。</w:t>
      </w:r>
      <w:r>
        <w:rPr>
          <w:rFonts w:ascii="微软雅黑" w:hAnsi="微软雅黑" w:eastAsia="微软雅黑"/>
          <w:b/>
          <w:sz w:val="20"/>
        </w:rPr>
        <w:t>抓手</w:t>
      </w:r>
      <w:r>
        <w:rPr>
          <w:rFonts w:ascii="微软雅黑" w:hAnsi="微软雅黑" w:eastAsia="微软雅黑"/>
          <w:sz w:val="20"/>
        </w:rPr>
        <w:t>：与"改"段绑定，作为提交住建的首批底稿。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  <w:highlight w:val="cyan"/>
        </w:rPr>
        <w:t>：完成"好房子四维度×四字诀"映射文件，作为住建发文附件。</w:t>
      </w:r>
    </w:p>
    <w:p w14:paraId="44A63722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2. 一个职业认证 [进行中]</w:t>
      </w:r>
      <w:r>
        <w:rPr>
          <w:rFonts w:ascii="微软雅黑" w:hAnsi="微软雅黑" w:eastAsia="微软雅黑"/>
          <w:sz w:val="20"/>
        </w:rPr>
        <w:t>——</w:t>
      </w:r>
      <w:r>
        <w:rPr>
          <w:rFonts w:hint="eastAsia"/>
          <w:sz w:val="20"/>
          <w:lang w:eastAsia="zh-CN"/>
        </w:rPr>
        <w:t>“不动产资产规划师”</w:t>
      </w:r>
      <w:r>
        <w:rPr>
          <w:rFonts w:ascii="微软雅黑" w:hAnsi="微软雅黑" w:eastAsia="微软雅黑"/>
          <w:sz w:val="20"/>
        </w:rPr>
        <w:t xml:space="preserve"> 体系设计中 LV1-3。</w:t>
      </w:r>
      <w:r>
        <w:rPr>
          <w:rFonts w:ascii="微软雅黑" w:hAnsi="微软雅黑" w:eastAsia="微软雅黑"/>
          <w:b/>
          <w:sz w:val="20"/>
        </w:rPr>
        <w:t>抓手</w:t>
      </w:r>
      <w:r>
        <w:rPr>
          <w:rFonts w:ascii="微软雅黑" w:hAnsi="微软雅黑" w:eastAsia="微软雅黑"/>
          <w:sz w:val="20"/>
        </w:rPr>
        <w:t>：与"运"段服务者认证打通，</w:t>
      </w:r>
      <w:r>
        <w:rPr>
          <w:rFonts w:hint="eastAsia"/>
          <w:sz w:val="20"/>
          <w:lang w:eastAsia="zh-CN"/>
        </w:rPr>
        <w:t>“不动产资产规划师”</w:t>
      </w:r>
      <w:r>
        <w:rPr>
          <w:rFonts w:ascii="微软雅黑" w:hAnsi="微软雅黑" w:eastAsia="微软雅黑"/>
          <w:sz w:val="20"/>
        </w:rPr>
        <w:t xml:space="preserve"> 作为</w:t>
      </w:r>
      <w:r>
        <w:rPr>
          <w:rFonts w:ascii="微软雅黑" w:hAnsi="微软雅黑" w:eastAsia="微软雅黑"/>
          <w:b/>
          <w:sz w:val="20"/>
        </w:rPr>
        <w:t>推荐行业认证之一（暂用名，最终以人社/住建联合认证名称为准）</w:t>
      </w:r>
      <w:r>
        <w:rPr>
          <w:rFonts w:ascii="微软雅黑" w:hAnsi="微软雅黑" w:eastAsia="微软雅黑"/>
          <w:sz w:val="20"/>
        </w:rPr>
        <w:t>与官方职业资格衔接。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</w:rPr>
        <w:t>：7月完成首批100人培养+LV1-3 标准定稿，争取江苏作为首个试点省份。</w:t>
      </w:r>
    </w:p>
    <w:p w14:paraId="7800877C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3. 一个白皮书 [进行中]</w:t>
      </w:r>
      <w:r>
        <w:rPr>
          <w:rFonts w:ascii="微软雅黑" w:hAnsi="微软雅黑" w:eastAsia="微软雅黑"/>
          <w:sz w:val="20"/>
        </w:rPr>
        <w:t>——定价论文·9月完成。</w:t>
      </w:r>
      <w:r>
        <w:rPr>
          <w:rFonts w:ascii="微软雅黑" w:hAnsi="微软雅黑" w:eastAsia="微软雅黑"/>
          <w:b/>
          <w:sz w:val="20"/>
        </w:rPr>
        <w:t>抓手</w:t>
      </w:r>
      <w:r>
        <w:rPr>
          <w:rFonts w:ascii="微软雅黑" w:hAnsi="微软雅黑" w:eastAsia="微软雅黑"/>
          <w:sz w:val="20"/>
        </w:rPr>
        <w:t>：作为"研"段省级市场研判与价格红线的学术背书。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</w:rPr>
        <w:t>：9月完成，同步提供江苏银行及同业机构作为信贷与运营定价参考。</w:t>
      </w:r>
    </w:p>
    <w:p w14:paraId="3707B426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4. 一个标杆项目 [11 项储备覆盖一线/新一线/二线（详见附 2）]</w:t>
      </w:r>
      <w:r>
        <w:rPr>
          <w:rFonts w:ascii="微软雅黑" w:hAnsi="微软雅黑" w:eastAsia="微软雅黑"/>
          <w:sz w:val="20"/>
        </w:rPr>
        <w:t>——</w:t>
      </w:r>
      <w:r>
        <w:rPr>
          <w:rFonts w:ascii="微软雅黑" w:hAnsi="微软雅黑" w:eastAsia="微软雅黑"/>
          <w:b/>
          <w:sz w:val="20"/>
        </w:rPr>
        <w:t>江苏侧锁定南京为四字诀全要素首发标杆</w:t>
      </w:r>
      <w:r>
        <w:rPr>
          <w:rFonts w:ascii="微软雅黑" w:hAnsi="微软雅黑" w:eastAsia="微软雅黑"/>
          <w:sz w:val="20"/>
        </w:rPr>
        <w:t>（浦口模式延伸+</w:t>
      </w:r>
      <w:r>
        <w:rPr>
          <w:rFonts w:hint="eastAsia"/>
          <w:sz w:val="20"/>
          <w:lang w:eastAsia="zh-CN"/>
        </w:rPr>
        <w:t>银行监管</w:t>
      </w:r>
      <w:r>
        <w:rPr>
          <w:rFonts w:ascii="微软雅黑" w:hAnsi="微软雅黑" w:eastAsia="微软雅黑"/>
          <w:sz w:val="20"/>
          <w:highlight w:val="cyan"/>
        </w:rPr>
        <w:t>落地+好房子四维度+统一服务平台试点四件套同框）；</w:t>
      </w:r>
      <w:r>
        <w:rPr>
          <w:rFonts w:ascii="微软雅黑" w:hAnsi="微软雅黑" w:eastAsia="微软雅黑"/>
          <w:b/>
          <w:sz w:val="20"/>
        </w:rPr>
        <w:t>集团级 Plan B：杭州/北京/上海/广州四城平行备选</w:t>
      </w:r>
      <w:r>
        <w:rPr>
          <w:rFonts w:ascii="微软雅黑" w:hAnsi="微软雅黑" w:eastAsia="微软雅黑"/>
          <w:sz w:val="20"/>
        </w:rPr>
        <w:t>，任一环节延期或异常可由备选城市承接，避免发布会因单城市风险全盘连带。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</w:rPr>
        <w:t>：8月完成南京方案定稿、京/沪/杭/穗进入预储备；9月对外开放参访、承接11月发布会现场考察。</w:t>
      </w:r>
    </w:p>
    <w:p w14:paraId="6177AB3B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5. 一套 AI 工具 [开发中]</w:t>
      </w:r>
      <w:r>
        <w:rPr>
          <w:rFonts w:ascii="微软雅黑" w:hAnsi="微软雅黑" w:eastAsia="微软雅黑"/>
          <w:sz w:val="20"/>
          <w:highlight w:val="cyan"/>
        </w:rPr>
        <w:t xml:space="preserve">——美租1000+·3个月出版，江苏侧三大模块统一在该模型底座之上：① </w:t>
      </w:r>
      <w:r>
        <w:rPr>
          <w:rFonts w:ascii="微软雅黑" w:hAnsi="微软雅黑" w:eastAsia="微软雅黑"/>
          <w:b/>
          <w:sz w:val="20"/>
          <w:highlight w:val="cyan"/>
        </w:rPr>
        <w:t>租金和房价评估模型</w:t>
      </w:r>
      <w:r>
        <w:rPr>
          <w:rFonts w:ascii="微软雅黑" w:hAnsi="微软雅黑" w:eastAsia="微软雅黑"/>
          <w:sz w:val="20"/>
        </w:rPr>
        <w:t xml:space="preserve">（"研"段省级研判底座，对接信贷定价与价格红线）；② </w:t>
      </w:r>
      <w:r>
        <w:rPr>
          <w:rFonts w:ascii="微软雅黑" w:hAnsi="微软雅黑" w:eastAsia="微软雅黑"/>
          <w:b/>
          <w:sz w:val="20"/>
          <w:highlight w:val="cyan"/>
        </w:rPr>
        <w:t>装改评估 ROI 测算</w:t>
      </w:r>
      <w:r>
        <w:rPr>
          <w:rFonts w:ascii="微软雅黑" w:hAnsi="微软雅黑" w:eastAsia="微软雅黑"/>
          <w:sz w:val="20"/>
        </w:rPr>
        <w:t xml:space="preserve">（"改"段单方造价/装修成本/装修后月租金/回本测算工具，服务投资决策与同业开放接入）；③ </w:t>
      </w:r>
      <w:r>
        <w:rPr>
          <w:rFonts w:ascii="微软雅黑" w:hAnsi="微软雅黑" w:eastAsia="微软雅黑"/>
          <w:b/>
          <w:sz w:val="20"/>
          <w:highlight w:val="cyan"/>
        </w:rPr>
        <w:t>租赁市场月报生产引擎</w:t>
      </w:r>
      <w:r>
        <w:rPr>
          <w:rFonts w:ascii="微软雅黑" w:hAnsi="微软雅黑" w:eastAsia="微软雅黑"/>
          <w:sz w:val="20"/>
          <w:highlight w:val="cyan"/>
        </w:rPr>
        <w:t>（公共数据产品底层，对应 +2 第二项）。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</w:rPr>
        <w:t>：8月完成AI模型，打通房屋数据字典动态记录+研判模型+政策追踪+风险预警五条数据线。</w:t>
      </w:r>
    </w:p>
    <w:p w14:paraId="44220DE3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6. 一个发布会 [待启动]</w:t>
      </w:r>
      <w:r>
        <w:rPr>
          <w:rFonts w:ascii="微软雅黑" w:hAnsi="微软雅黑" w:eastAsia="微软雅黑"/>
          <w:sz w:val="20"/>
        </w:rPr>
        <w:t>——11月联合人民日报。</w:t>
      </w:r>
      <w:r>
        <w:rPr>
          <w:rFonts w:ascii="微软雅黑" w:hAnsi="微软雅黑" w:eastAsia="微软雅黑"/>
          <w:b/>
          <w:sz w:val="20"/>
        </w:rPr>
        <w:t>抓手</w:t>
      </w:r>
      <w:r>
        <w:rPr>
          <w:rFonts w:ascii="微软雅黑" w:hAnsi="微软雅黑" w:eastAsia="微软雅黑"/>
          <w:sz w:val="20"/>
        </w:rPr>
        <w:t>：四字诀+6+2 作业包整体官宣"江苏样本"。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</w:rPr>
        <w:t>：9-10月与江苏住建预沟通；11月发布会同步释放南京标杆参访、月报首期、</w:t>
      </w:r>
      <w:r>
        <w:rPr>
          <w:rFonts w:hint="eastAsia"/>
          <w:sz w:val="20"/>
          <w:lang w:eastAsia="zh-CN"/>
        </w:rPr>
        <w:t>“不动产资产规划师”</w:t>
      </w:r>
      <w:r>
        <w:rPr>
          <w:rFonts w:ascii="微软雅黑" w:hAnsi="微软雅黑" w:eastAsia="微软雅黑"/>
          <w:sz w:val="20"/>
        </w:rPr>
        <w:t xml:space="preserve"> 首批合格名单三件套。</w:t>
      </w:r>
    </w:p>
    <w:p w14:paraId="6A765C27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+2 公共产品（一）保租房频道 toC [进行中]</w:t>
      </w:r>
      <w:r>
        <w:rPr>
          <w:rFonts w:ascii="微软雅黑" w:hAnsi="微软雅黑" w:eastAsia="微软雅黑"/>
          <w:sz w:val="20"/>
        </w:rPr>
        <w:t>——</w:t>
      </w:r>
      <w:r>
        <w:rPr>
          <w:rFonts w:ascii="微软雅黑" w:hAnsi="微软雅黑" w:eastAsia="微软雅黑"/>
          <w:b/>
          <w:sz w:val="20"/>
          <w:highlight w:val="cyan"/>
        </w:rPr>
        <w:t>市级保租房统一服务平台</w:t>
      </w:r>
      <w:r>
        <w:rPr>
          <w:rFonts w:ascii="微软雅黑" w:hAnsi="微软雅黑" w:eastAsia="微软雅黑"/>
          <w:sz w:val="20"/>
        </w:rPr>
        <w:t>（贝壳APP/小程序"本市保租房专区"+住建认证标识，住建主导、贝壳承建）。</w:t>
      </w:r>
      <w:r>
        <w:rPr>
          <w:rFonts w:ascii="微软雅黑" w:hAnsi="微软雅黑" w:eastAsia="微软雅黑"/>
          <w:b/>
          <w:sz w:val="20"/>
        </w:rPr>
        <w:t>抓手</w:t>
      </w:r>
      <w:r>
        <w:rPr>
          <w:rFonts w:ascii="微软雅黑" w:hAnsi="微软雅黑" w:eastAsia="微软雅黑"/>
          <w:sz w:val="20"/>
        </w:rPr>
        <w:t>：与"改"段绑定，统一全市保租房入口；对自如/龙湖/华润/招商等同业按同等资质开放接入。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</w:rPr>
        <w:t>：6-8 周完成首批城市数据通道、备案回流、统一 API 联调；接入文档对外公开发布。</w:t>
      </w:r>
    </w:p>
    <w:p w14:paraId="1434E95D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+2 公共产品（二）租赁市场月报 toG [筹备中]</w:t>
      </w:r>
      <w:r>
        <w:rPr>
          <w:rFonts w:ascii="微软雅黑" w:hAnsi="微软雅黑" w:eastAsia="微软雅黑"/>
          <w:sz w:val="20"/>
        </w:rPr>
        <w:t>——</w:t>
      </w:r>
      <w:r>
        <w:rPr>
          <w:rFonts w:ascii="微软雅黑" w:hAnsi="微软雅黑" w:eastAsia="微软雅黑"/>
          <w:b/>
          <w:sz w:val="20"/>
          <w:highlight w:val="cyan"/>
        </w:rPr>
        <w:t>《江苏住房租赁市场月报》</w:t>
      </w:r>
      <w:r>
        <w:rPr>
          <w:rFonts w:ascii="微软雅黑" w:hAnsi="微软雅黑" w:eastAsia="微软雅黑"/>
          <w:sz w:val="20"/>
          <w:highlight w:val="cyan"/>
        </w:rPr>
        <w:t>（由 AI 工具引擎驱动，分受众输出）。</w:t>
      </w:r>
      <w:r>
        <w:rPr>
          <w:rFonts w:ascii="微软雅黑" w:hAnsi="微软雅黑" w:eastAsia="微软雅黑"/>
          <w:b/>
          <w:sz w:val="20"/>
        </w:rPr>
        <w:t>抓手</w:t>
      </w:r>
      <w:r>
        <w:rPr>
          <w:rFonts w:ascii="微软雅黑" w:hAnsi="微软雅黑" w:eastAsia="微软雅黑"/>
          <w:sz w:val="20"/>
        </w:rPr>
        <w:t>：与"研"段绑定，作为面向监管/政府/金融机构/媒体协会的</w:t>
      </w:r>
      <w:r>
        <w:rPr>
          <w:rFonts w:ascii="微软雅黑" w:hAnsi="微软雅黑" w:eastAsia="微软雅黑"/>
          <w:b/>
          <w:sz w:val="20"/>
          <w:highlight w:val="cyan"/>
        </w:rPr>
        <w:t>公共数据产品</w:t>
      </w:r>
      <w:r>
        <w:rPr>
          <w:rFonts w:ascii="微软雅黑" w:hAnsi="微软雅黑" w:eastAsia="微软雅黑"/>
          <w:sz w:val="20"/>
        </w:rPr>
        <w:t>。</w:t>
      </w:r>
      <w:r>
        <w:rPr>
          <w:rFonts w:ascii="微软雅黑" w:hAnsi="微软雅黑" w:eastAsia="微软雅黑"/>
          <w:b/>
          <w:sz w:val="20"/>
        </w:rPr>
        <w:t>动作</w:t>
      </w:r>
      <w:r>
        <w:rPr>
          <w:rFonts w:ascii="微软雅黑" w:hAnsi="微软雅黑" w:eastAsia="微软雅黑"/>
          <w:sz w:val="20"/>
        </w:rPr>
        <w:t>：9月首期发布，分版本——住建（决策版）、江苏银行及同业（信贷与运营版）、城投与项目主体（运营版）、媒体协会（精简版）；口径接受江苏省社科院/东南大学/省房协等第三方审计与开放质询。</w:t>
      </w:r>
      <w:r>
        <w:rPr>
          <w:rFonts w:ascii="微软雅黑" w:hAnsi="微软雅黑" w:eastAsia="微软雅黑"/>
          <w:b/>
          <w:sz w:val="20"/>
        </w:rPr>
        <w:t>战略意义</w:t>
      </w:r>
      <w:r>
        <w:rPr>
          <w:rFonts w:ascii="微软雅黑" w:hAnsi="微软雅黑" w:eastAsia="微软雅黑"/>
          <w:sz w:val="20"/>
        </w:rPr>
        <w:t>：建立江苏租赁公共数据底座，市场获得统一数据源。</w:t>
      </w:r>
    </w:p>
    <w:p w14:paraId="4054694E">
      <w:pPr>
        <w:spacing w:before="0" w:after="40" w:line="276" w:lineRule="auto"/>
      </w:pPr>
      <w:r>
        <w:rPr>
          <w:rFonts w:ascii="微软雅黑" w:hAnsi="微软雅黑" w:eastAsia="微软雅黑"/>
          <w:b/>
          <w:sz w:val="20"/>
        </w:rPr>
        <w:t>GR 线节奏</w:t>
      </w:r>
      <w:r>
        <w:rPr>
          <w:rFonts w:ascii="微软雅黑" w:hAnsi="微软雅黑" w:eastAsia="微软雅黑"/>
          <w:sz w:val="20"/>
        </w:rPr>
        <w:t>：6月白皮书定稿（视进度可延至9月）→ 7月百人培养完成 → 8月AI模型+南京标杆方案（京/沪/杭/穗 Plan B 同步预储备）→ 9月月报首发+频道首城上线 → 11月发布会全要素亮相。</w:t>
      </w:r>
      <w:r>
        <w:rPr>
          <w:rFonts w:ascii="微软雅黑" w:hAnsi="微软雅黑" w:eastAsia="微软雅黑"/>
          <w:b/>
          <w:sz w:val="20"/>
        </w:rPr>
        <w:t>四字诀提供叙事骨架，六个基建提供执行物证，两个公共产品提供长期复利</w:t>
      </w:r>
      <w:r>
        <w:rPr>
          <w:rFonts w:ascii="微软雅黑" w:hAnsi="微软雅黑" w:eastAsia="微软雅黑"/>
          <w:sz w:val="20"/>
        </w:rPr>
        <w:t>——三者合一，构成贝壳在江苏住房租赁治理新生态中的完整 GR 战略闭环。</w:t>
      </w:r>
    </w:p>
    <w:p w14:paraId="20C75EA9">
      <w:pPr>
        <w:spacing w:before="120" w:after="60" w:line="276" w:lineRule="auto"/>
      </w:pPr>
      <w:r>
        <w:rPr>
          <w:rFonts w:ascii="微软雅黑" w:hAnsi="微软雅黑" w:eastAsia="微软雅黑"/>
          <w:b/>
          <w:color w:val="1F3A68"/>
          <w:sz w:val="24"/>
        </w:rPr>
        <w:t>【附 2】7 个储备项目标杆性价值提炼</w:t>
      </w:r>
    </w:p>
    <w:p w14:paraId="2AAB5129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改造场景四分（含新启·先立框架）</w:t>
      </w:r>
      <w:r>
        <w:rPr>
          <w:rFonts w:ascii="微软雅黑" w:hAnsi="微软雅黑" w:eastAsia="微软雅黑"/>
          <w:sz w:val="20"/>
        </w:rPr>
        <w:t>：南京（商品房翻新）属</w:t>
      </w:r>
      <w:r>
        <w:rPr>
          <w:rFonts w:ascii="微软雅黑" w:hAnsi="微软雅黑" w:eastAsia="微软雅黑"/>
          <w:b/>
          <w:sz w:val="20"/>
        </w:rPr>
        <w:t>轻度改造</w:t>
      </w:r>
      <w:r>
        <w:rPr>
          <w:rFonts w:ascii="微软雅黑" w:hAnsi="微软雅黑" w:eastAsia="微软雅黑"/>
          <w:sz w:val="20"/>
        </w:rPr>
        <w:t>场景，月租增量 300-800 元，承担"四字诀全要素同框 + 政策样板"叙事使命；杭州/宁波（民营/国资存量重塑）属</w:t>
      </w:r>
      <w:r>
        <w:rPr>
          <w:rFonts w:ascii="微软雅黑" w:hAnsi="微软雅黑" w:eastAsia="微软雅黑"/>
          <w:b/>
          <w:sz w:val="20"/>
        </w:rPr>
        <w:t>中度改造</w:t>
      </w:r>
      <w:r>
        <w:rPr>
          <w:rFonts w:ascii="微软雅黑" w:hAnsi="微软雅黑" w:eastAsia="微软雅黑"/>
          <w:sz w:val="20"/>
        </w:rPr>
        <w:t>场景，月租增量 850-1500 元；北京/上海三项（原经营不善近零租金重整）属</w:t>
      </w:r>
      <w:r>
        <w:rPr>
          <w:rFonts w:ascii="微软雅黑" w:hAnsi="微软雅黑" w:eastAsia="微软雅黑"/>
          <w:b/>
          <w:sz w:val="20"/>
        </w:rPr>
        <w:t>重度激活</w:t>
      </w:r>
      <w:r>
        <w:rPr>
          <w:rFonts w:ascii="微软雅黑" w:hAnsi="微软雅黑" w:eastAsia="微软雅黑"/>
          <w:sz w:val="20"/>
        </w:rPr>
        <w:t>场景，月租增量 3500-8050 元。</w:t>
      </w:r>
      <w:r>
        <w:rPr>
          <w:rFonts w:ascii="微软雅黑" w:hAnsi="微软雅黑" w:eastAsia="微软雅黑"/>
          <w:b/>
          <w:sz w:val="20"/>
        </w:rPr>
        <w:t>三类改造场景在装修投入产出（装修成本/装修后月租金）同处 10-18 月区间，横向不可比、互补不可替；广州 4 项（财富广场/广开云汇/GIE/凯德星贸·产业园配套）装修前租金为空、属新建启用场景，月租金 1,500-3,300 元，与三类改造场景并列形成「轻/中/重+新启」四象限</w:t>
      </w:r>
      <w:r>
        <w:rPr>
          <w:rFonts w:ascii="微软雅黑" w:hAnsi="微软雅黑" w:eastAsia="微软雅黑"/>
          <w:sz w:val="20"/>
        </w:rPr>
        <w:t>。</w:t>
      </w:r>
    </w:p>
    <w:p w14:paraId="66650AD1">
      <w:pPr>
        <w:spacing w:before="0" w:after="40" w:line="276" w:lineRule="auto"/>
      </w:pPr>
      <w:r>
        <w:rPr>
          <w:rFonts w:ascii="微软雅黑" w:hAnsi="微软雅黑" w:eastAsia="微软雅黑"/>
          <w:sz w:val="20"/>
        </w:rPr>
        <w:t>在以上场景框架下，11 个储备项目按</w:t>
      </w:r>
      <w:r>
        <w:rPr>
          <w:rFonts w:ascii="微软雅黑" w:hAnsi="微软雅黑" w:eastAsia="微软雅黑"/>
          <w:b/>
          <w:sz w:val="20"/>
        </w:rPr>
        <w:t>模式样本 / 业主类型 / 产品段 / 城市能级 / 退出路径</w:t>
      </w:r>
      <w:r>
        <w:rPr>
          <w:rFonts w:ascii="微软雅黑" w:hAnsi="微软雅黑" w:eastAsia="微软雅黑"/>
          <w:sz w:val="20"/>
        </w:rPr>
        <w:t>五维形成完备覆盖，</w:t>
      </w:r>
      <w:r>
        <w:rPr>
          <w:rFonts w:ascii="微软雅黑" w:hAnsi="微软雅黑" w:eastAsia="微软雅黑"/>
          <w:b/>
          <w:sz w:val="20"/>
        </w:rPr>
        <w:t>每个项目都对应一种可推广打法</w:t>
      </w:r>
      <w:r>
        <w:rPr>
          <w:rFonts w:ascii="微软雅黑" w:hAnsi="微软雅黑" w:eastAsia="微软雅黑"/>
          <w:sz w:val="20"/>
        </w:rPr>
        <w:t xml:space="preserve">，总储备体量 </w:t>
      </w:r>
      <w:r>
        <w:rPr>
          <w:rFonts w:ascii="微软雅黑" w:hAnsi="微软雅黑" w:eastAsia="微软雅黑"/>
          <w:b/>
          <w:sz w:val="20"/>
        </w:rPr>
        <w:t>10,084 套</w:t>
      </w:r>
      <w:r>
        <w:rPr>
          <w:rFonts w:ascii="微软雅黑" w:hAnsi="微软雅黑" w:eastAsia="微软雅黑"/>
          <w:sz w:val="20"/>
        </w:rPr>
        <w:t>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2635"/>
        <w:gridCol w:w="2635"/>
        <w:gridCol w:w="2635"/>
      </w:tblGrid>
      <w:tr w14:paraId="64B0124A">
        <w:tc>
          <w:tcPr>
            <w:tcW w:w="2635" w:type="dxa"/>
          </w:tcPr>
          <w:p w14:paraId="0A4FCD1E">
            <w:r>
              <w:rPr>
                <w:rFonts w:ascii="微软雅黑" w:hAnsi="微软雅黑" w:eastAsia="微软雅黑"/>
                <w:b/>
                <w:sz w:val="18"/>
              </w:rPr>
              <w:t>项目（体量）</w:t>
            </w:r>
          </w:p>
        </w:tc>
        <w:tc>
          <w:tcPr>
            <w:tcW w:w="2635" w:type="dxa"/>
          </w:tcPr>
          <w:p w14:paraId="602BC116">
            <w:r>
              <w:rPr>
                <w:rFonts w:ascii="微软雅黑" w:hAnsi="微软雅黑" w:eastAsia="微软雅黑"/>
                <w:b/>
                <w:sz w:val="18"/>
              </w:rPr>
              <w:t>标杆维度</w:t>
            </w:r>
          </w:p>
        </w:tc>
        <w:tc>
          <w:tcPr>
            <w:tcW w:w="2635" w:type="dxa"/>
          </w:tcPr>
          <w:p w14:paraId="56F80E9B">
            <w:r>
              <w:rPr>
                <w:rFonts w:ascii="微软雅黑" w:hAnsi="微软雅黑" w:eastAsia="微软雅黑"/>
                <w:b/>
                <w:sz w:val="18"/>
              </w:rPr>
              <w:t>价值定位</w:t>
            </w:r>
          </w:p>
        </w:tc>
        <w:tc>
          <w:tcPr>
            <w:tcW w:w="2635" w:type="dxa"/>
          </w:tcPr>
          <w:p w14:paraId="13410D8F">
            <w:r>
              <w:rPr>
                <w:rFonts w:ascii="微软雅黑" w:hAnsi="微软雅黑" w:eastAsia="微软雅黑"/>
                <w:b/>
                <w:sz w:val="18"/>
              </w:rPr>
              <w:t>可复用打法</w:t>
            </w:r>
          </w:p>
        </w:tc>
      </w:tr>
      <w:tr w14:paraId="0E3C0B9B">
        <w:tc>
          <w:tcPr>
            <w:tcW w:w="2635" w:type="dxa"/>
          </w:tcPr>
          <w:p w14:paraId="6EDAD70C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南京浦口城市星瀚（500 套）</w:t>
            </w:r>
          </w:p>
        </w:tc>
        <w:tc>
          <w:tcPr>
            <w:tcW w:w="2635" w:type="dxa"/>
          </w:tcPr>
          <w:p w14:paraId="71C7A5AF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国资+优质开发商+家庭型刚需</w:t>
            </w:r>
          </w:p>
        </w:tc>
        <w:tc>
          <w:tcPr>
            <w:tcW w:w="2635" w:type="dxa"/>
          </w:tcPr>
          <w:p w14:paraId="760C6E1C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江苏侧首发政策样板（浦口模式策源地）</w:t>
            </w:r>
          </w:p>
        </w:tc>
        <w:tc>
          <w:tcPr>
            <w:tcW w:w="2635" w:type="dxa"/>
          </w:tcPr>
          <w:p w14:paraId="1BFEC4E6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四字诀全要素同框、</w:t>
            </w:r>
            <w:r>
              <w:rPr>
                <w:rFonts w:hint="eastAsia"/>
                <w:sz w:val="18"/>
                <w:lang w:eastAsia="zh-CN"/>
              </w:rPr>
              <w:t>银行监管</w:t>
            </w:r>
            <w:r>
              <w:rPr>
                <w:rFonts w:ascii="微软雅黑" w:hAnsi="微软雅黑" w:eastAsia="微软雅黑"/>
                <w:sz w:val="18"/>
              </w:rPr>
              <w:t>落地</w:t>
            </w:r>
          </w:p>
        </w:tc>
      </w:tr>
      <w:tr w14:paraId="4DB7A068">
        <w:tc>
          <w:tcPr>
            <w:tcW w:w="2635" w:type="dxa"/>
          </w:tcPr>
          <w:p w14:paraId="179EF02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杭州萧山时光城（2800 套·最大单体）</w:t>
            </w:r>
          </w:p>
        </w:tc>
        <w:tc>
          <w:tcPr>
            <w:tcW w:w="2635" w:type="dxa"/>
          </w:tcPr>
          <w:p w14:paraId="6AF10C3A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民营不良资产收购→长租社区改造</w:t>
            </w:r>
          </w:p>
        </w:tc>
        <w:tc>
          <w:tcPr>
            <w:tcW w:w="2635" w:type="dxa"/>
          </w:tcPr>
          <w:p w14:paraId="110B63DB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化险+供给扩容双重样板</w:t>
            </w:r>
          </w:p>
        </w:tc>
        <w:tc>
          <w:tcPr>
            <w:tcW w:w="2635" w:type="dxa"/>
          </w:tcPr>
          <w:p w14:paraId="0B2CE894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安居集团协作模型、毛坯改造 SOP</w:t>
            </w:r>
          </w:p>
        </w:tc>
      </w:tr>
      <w:tr w14:paraId="422A73C8">
        <w:tc>
          <w:tcPr>
            <w:tcW w:w="2635" w:type="dxa"/>
          </w:tcPr>
          <w:p w14:paraId="40E9B5E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北京通州远洋（1600 套）</w:t>
            </w:r>
          </w:p>
        </w:tc>
        <w:tc>
          <w:tcPr>
            <w:tcW w:w="2635" w:type="dxa"/>
          </w:tcPr>
          <w:p w14:paraId="1BF5C6D4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  <w:highlight w:val="yellow"/>
              </w:rPr>
              <w:t>银行合作模式全国首单 + REITs 退出</w:t>
            </w:r>
          </w:p>
        </w:tc>
        <w:tc>
          <w:tcPr>
            <w:tcW w:w="2635" w:type="dxa"/>
          </w:tcPr>
          <w:p w14:paraId="3A596AE8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金融机构作为业主方的标杆（上海银行）</w:t>
            </w:r>
          </w:p>
        </w:tc>
        <w:tc>
          <w:tcPr>
            <w:tcW w:w="2635" w:type="dxa"/>
          </w:tcPr>
          <w:p w14:paraId="3EAFD345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  <w:highlight w:val="yellow"/>
              </w:rPr>
              <w:t>三方一致协议、REITs 退出通道</w:t>
            </w:r>
          </w:p>
        </w:tc>
      </w:tr>
      <w:tr w14:paraId="0F1CBF86">
        <w:tc>
          <w:tcPr>
            <w:tcW w:w="2635" w:type="dxa"/>
          </w:tcPr>
          <w:p w14:paraId="03923D3C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上海长宁申亚广场（1020 套）</w:t>
            </w:r>
          </w:p>
        </w:tc>
        <w:tc>
          <w:tcPr>
            <w:tcW w:w="2635" w:type="dxa"/>
          </w:tcPr>
          <w:p w14:paraId="1D3E059E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银行合作模式 + 政府混改业主</w:t>
            </w:r>
          </w:p>
        </w:tc>
        <w:tc>
          <w:tcPr>
            <w:tcW w:w="2635" w:type="dxa"/>
          </w:tcPr>
          <w:p w14:paraId="4E837075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政府混改业主对照样本</w:t>
            </w:r>
          </w:p>
        </w:tc>
        <w:tc>
          <w:tcPr>
            <w:tcW w:w="2635" w:type="dxa"/>
          </w:tcPr>
          <w:p w14:paraId="31B398A6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区办混改企业合作协议模板</w:t>
            </w:r>
          </w:p>
        </w:tc>
      </w:tr>
      <w:tr w14:paraId="32335051">
        <w:tc>
          <w:tcPr>
            <w:tcW w:w="2635" w:type="dxa"/>
          </w:tcPr>
          <w:p w14:paraId="44149F93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上海长宁三林（226 套）</w:t>
            </w:r>
          </w:p>
        </w:tc>
        <w:tc>
          <w:tcPr>
            <w:tcW w:w="2635" w:type="dxa"/>
          </w:tcPr>
          <w:p w14:paraId="4218BD37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优质开发商共建 + 中高端产品</w:t>
            </w:r>
          </w:p>
        </w:tc>
        <w:tc>
          <w:tcPr>
            <w:tcW w:w="2635" w:type="dxa"/>
          </w:tcPr>
          <w:p w14:paraId="62CFC240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中高端产品线扩容样板</w:t>
            </w:r>
          </w:p>
        </w:tc>
        <w:tc>
          <w:tcPr>
            <w:tcW w:w="2635" w:type="dxa"/>
          </w:tcPr>
          <w:p w14:paraId="56A30C48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中高端户型设计与定价模型</w:t>
            </w:r>
          </w:p>
        </w:tc>
      </w:tr>
      <w:tr w14:paraId="6660E8CD">
        <w:tc>
          <w:tcPr>
            <w:tcW w:w="2635" w:type="dxa"/>
          </w:tcPr>
          <w:p w14:paraId="7BC994CC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上海长宁虹桥公寓（560 套）</w:t>
            </w:r>
          </w:p>
        </w:tc>
        <w:tc>
          <w:tcPr>
            <w:tcW w:w="2635" w:type="dxa"/>
          </w:tcPr>
          <w:p w14:paraId="516CD5A8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浙商银行业主合作</w:t>
            </w:r>
          </w:p>
        </w:tc>
        <w:tc>
          <w:tcPr>
            <w:tcW w:w="2635" w:type="dxa"/>
          </w:tcPr>
          <w:p w14:paraId="282E7A4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两家股份制银行业主双样本（与北京对照）</w:t>
            </w:r>
          </w:p>
        </w:tc>
        <w:tc>
          <w:tcPr>
            <w:tcW w:w="2635" w:type="dxa"/>
          </w:tcPr>
          <w:p w14:paraId="34A310B3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银行业主+区域分行联动模板</w:t>
            </w:r>
          </w:p>
        </w:tc>
      </w:tr>
      <w:tr w14:paraId="25EC8B0D">
        <w:tc>
          <w:tcPr>
            <w:tcW w:w="2635" w:type="dxa"/>
          </w:tcPr>
          <w:p w14:paraId="457FC8E0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宁波城投（1800 套）</w:t>
            </w:r>
          </w:p>
        </w:tc>
        <w:tc>
          <w:tcPr>
            <w:tcW w:w="2635" w:type="dxa"/>
          </w:tcPr>
          <w:p w14:paraId="757F7DC2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同南京模式跨省复制</w:t>
            </w:r>
          </w:p>
        </w:tc>
        <w:tc>
          <w:tcPr>
            <w:tcW w:w="2635" w:type="dxa"/>
          </w:tcPr>
          <w:p w14:paraId="6653E290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国资模式可复制性首个验证</w:t>
            </w:r>
          </w:p>
        </w:tc>
        <w:tc>
          <w:tcPr>
            <w:tcW w:w="2635" w:type="dxa"/>
          </w:tcPr>
          <w:p w14:paraId="592A6B88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标准化资金工具箱跨省迁移</w:t>
            </w:r>
          </w:p>
        </w:tc>
      </w:tr>
      <w:tr w14:paraId="116DB2FA">
        <w:tc>
          <w:tcPr>
            <w:tcW w:w="2635" w:type="dxa"/>
          </w:tcPr>
          <w:p w14:paraId="510F991C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广州财富广场（248 套）</w:t>
            </w:r>
          </w:p>
        </w:tc>
        <w:tc>
          <w:tcPr>
            <w:tcW w:w="2635" w:type="dxa"/>
          </w:tcPr>
          <w:p w14:paraId="70A17BA8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商业改租+业主投硬装/我司投软装</w:t>
            </w:r>
          </w:p>
        </w:tc>
        <w:tc>
          <w:tcPr>
            <w:tcW w:w="2635" w:type="dxa"/>
          </w:tcPr>
          <w:p w14:paraId="29F7793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极低资本占用样板（≈19 月回本）</w:t>
            </w:r>
          </w:p>
        </w:tc>
        <w:tc>
          <w:tcPr>
            <w:tcW w:w="2635" w:type="dxa"/>
          </w:tcPr>
          <w:p w14:paraId="7F327F00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业主硬装/我司软装协议、商改租日租兼容设计</w:t>
            </w:r>
          </w:p>
        </w:tc>
      </w:tr>
      <w:tr w14:paraId="711CCA31">
        <w:tc>
          <w:tcPr>
            <w:tcW w:w="2635" w:type="dxa"/>
          </w:tcPr>
          <w:p w14:paraId="644D1E03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广州广开云汇（640 套）</w:t>
            </w:r>
          </w:p>
        </w:tc>
        <w:tc>
          <w:tcPr>
            <w:tcW w:w="2635" w:type="dxa"/>
          </w:tcPr>
          <w:p w14:paraId="014A8EAF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园区配套溢价（山姆+5A 写字楼+五星酒店）</w:t>
            </w:r>
          </w:p>
        </w:tc>
        <w:tc>
          <w:tcPr>
            <w:tcW w:w="2635" w:type="dxa"/>
          </w:tcPr>
          <w:p w14:paraId="1A947FF7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产业园白领配套样板</w:t>
            </w:r>
          </w:p>
        </w:tc>
        <w:tc>
          <w:tcPr>
            <w:tcW w:w="2635" w:type="dxa"/>
          </w:tcPr>
          <w:p w14:paraId="64956481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园区配套权益打包、租金分层定价</w:t>
            </w:r>
          </w:p>
        </w:tc>
      </w:tr>
      <w:tr w14:paraId="2F5F1C42">
        <w:tc>
          <w:tcPr>
            <w:tcW w:w="2635" w:type="dxa"/>
          </w:tcPr>
          <w:p w14:paraId="72E5228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广州 GIE 公寓（60 套）</w:t>
            </w:r>
          </w:p>
        </w:tc>
        <w:tc>
          <w:tcPr>
            <w:tcW w:w="2635" w:type="dxa"/>
          </w:tcPr>
          <w:p w14:paraId="2626788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蓝领公寓+三甲医院近邻</w:t>
            </w:r>
          </w:p>
        </w:tc>
        <w:tc>
          <w:tcPr>
            <w:tcW w:w="2635" w:type="dxa"/>
          </w:tcPr>
          <w:p w14:paraId="12ED9495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蓝领专项产品样板（小体量试水）</w:t>
            </w:r>
          </w:p>
        </w:tc>
        <w:tc>
          <w:tcPr>
            <w:tcW w:w="2635" w:type="dxa"/>
          </w:tcPr>
          <w:p w14:paraId="7070B084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蓝领户型/价格/服务标准</w:t>
            </w:r>
          </w:p>
        </w:tc>
      </w:tr>
      <w:tr w14:paraId="3FD20C29">
        <w:tc>
          <w:tcPr>
            <w:tcW w:w="2635" w:type="dxa"/>
          </w:tcPr>
          <w:p w14:paraId="4F603562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广州凯德星贸（630 套）</w:t>
            </w:r>
          </w:p>
        </w:tc>
        <w:tc>
          <w:tcPr>
            <w:tcW w:w="2635" w:type="dxa"/>
          </w:tcPr>
          <w:p w14:paraId="04CA8A9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智造基地核心+总部经济带</w:t>
            </w:r>
          </w:p>
        </w:tc>
        <w:tc>
          <w:tcPr>
            <w:tcW w:w="2635" w:type="dxa"/>
          </w:tcPr>
          <w:p w14:paraId="386788F3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产业链顶端配套样板</w:t>
            </w:r>
          </w:p>
        </w:tc>
        <w:tc>
          <w:tcPr>
            <w:tcW w:w="2635" w:type="dxa"/>
          </w:tcPr>
          <w:p w14:paraId="3FFCAF73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智造产业链人才公寓打法</w:t>
            </w:r>
          </w:p>
        </w:tc>
      </w:tr>
    </w:tbl>
    <w:p w14:paraId="1AF6D1C7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四类模式样本完备</w:t>
      </w:r>
      <w:r>
        <w:rPr>
          <w:rFonts w:ascii="微软雅黑" w:hAnsi="微软雅黑" w:eastAsia="微软雅黑"/>
          <w:sz w:val="20"/>
        </w:rPr>
        <w:t>：</w:t>
      </w:r>
      <w:r>
        <w:rPr>
          <w:rFonts w:ascii="微软雅黑" w:hAnsi="微软雅黑" w:eastAsia="微软雅黑"/>
          <w:b/>
          <w:sz w:val="20"/>
        </w:rPr>
        <w:t>国资重资产</w:t>
      </w:r>
      <w:r>
        <w:rPr>
          <w:rFonts w:ascii="微软雅黑" w:hAnsi="微软雅黑" w:eastAsia="微软雅黑"/>
          <w:sz w:val="20"/>
        </w:rPr>
        <w:t xml:space="preserve">（南京+宁波=2,300 套，政策友好、刚需托底）+ </w:t>
      </w:r>
      <w:r>
        <w:rPr>
          <w:rFonts w:ascii="微软雅黑" w:hAnsi="微软雅黑" w:eastAsia="微软雅黑"/>
          <w:b/>
          <w:sz w:val="20"/>
        </w:rPr>
        <w:t>民营不良资产收购</w:t>
      </w:r>
      <w:r>
        <w:rPr>
          <w:rFonts w:ascii="微软雅黑" w:hAnsi="微软雅黑" w:eastAsia="微软雅黑"/>
          <w:sz w:val="20"/>
        </w:rPr>
        <w:t xml:space="preserve">（杭州 2,800 套，化险叙事、量大杠杆）+ </w:t>
      </w:r>
      <w:r>
        <w:rPr>
          <w:rFonts w:ascii="微软雅黑" w:hAnsi="微软雅黑" w:eastAsia="微软雅黑"/>
          <w:b/>
          <w:sz w:val="20"/>
          <w:highlight w:val="yellow"/>
        </w:rPr>
        <w:t>银行合作（轻资产 + REITs 退出）</w:t>
      </w:r>
      <w:r>
        <w:rPr>
          <w:rFonts w:ascii="微软雅黑" w:hAnsi="微软雅黑" w:eastAsia="微软雅黑"/>
          <w:sz w:val="20"/>
        </w:rPr>
        <w:t>（北京+上海三项=3,180 套，金融创新、估值想象）+ 产业园区配套（广州 4 项=1,578 套，园区主体+轻投入/配套溢价/蓝领/智造）。</w:t>
      </w:r>
    </w:p>
    <w:p w14:paraId="75AF61C6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业主结构覆盖</w:t>
      </w:r>
      <w:r>
        <w:rPr>
          <w:rFonts w:ascii="微软雅黑" w:hAnsi="微软雅黑" w:eastAsia="微软雅黑"/>
          <w:sz w:val="20"/>
        </w:rPr>
        <w:t>：国资 / 政府混改 / 金融机构 / 优质开发商 / 产业园区集团五类均有样本，</w:t>
      </w:r>
      <w:r>
        <w:rPr>
          <w:rFonts w:ascii="微软雅黑" w:hAnsi="微软雅黑" w:eastAsia="微软雅黑"/>
          <w:b/>
          <w:sz w:val="20"/>
        </w:rPr>
        <w:t>可适配任何业主类型的项目准入路径</w:t>
      </w:r>
      <w:r>
        <w:rPr>
          <w:rFonts w:ascii="微软雅黑" w:hAnsi="微软雅黑" w:eastAsia="微软雅黑"/>
          <w:sz w:val="20"/>
        </w:rPr>
        <w:t>。</w:t>
      </w:r>
    </w:p>
    <w:p w14:paraId="4FC84EB0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江苏银行对标位</w:t>
      </w:r>
      <w:r>
        <w:rPr>
          <w:rFonts w:ascii="微软雅黑" w:hAnsi="微软雅黑" w:eastAsia="微软雅黑"/>
          <w:sz w:val="20"/>
        </w:rPr>
        <w:t>：北京通州（上海银行业主）+ 上海虹桥（浙商银行业主）已经形成</w:t>
      </w:r>
      <w:r>
        <w:rPr>
          <w:rFonts w:ascii="微软雅黑" w:hAnsi="微软雅黑" w:eastAsia="微软雅黑"/>
          <w:b/>
          <w:sz w:val="20"/>
        </w:rPr>
        <w:t>两家股份制银行业主合作双样本</w:t>
      </w:r>
      <w:r>
        <w:rPr>
          <w:rFonts w:ascii="微软雅黑" w:hAnsi="微软雅黑" w:eastAsia="微软雅黑"/>
          <w:sz w:val="20"/>
          <w:highlight w:val="yellow"/>
        </w:rPr>
        <w:t>——同业银行已下场，江苏银行作为省属法人银行更具政策卡位优势，可作为江苏侧银行业主合作第三案首发。</w:t>
      </w:r>
    </w:p>
    <w:p w14:paraId="073714DB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城市能级覆盖</w:t>
      </w:r>
      <w:r>
        <w:rPr>
          <w:rFonts w:ascii="微软雅黑" w:hAnsi="微软雅黑" w:eastAsia="微软雅黑"/>
          <w:sz w:val="20"/>
        </w:rPr>
        <w:t>：一线（北京/上海3+广州 4）+ 新一线（南京/杭州）+ 二线（宁波），</w:t>
      </w:r>
      <w:r>
        <w:rPr>
          <w:rFonts w:ascii="微软雅黑" w:hAnsi="微软雅黑" w:eastAsia="微软雅黑"/>
          <w:b/>
          <w:sz w:val="20"/>
        </w:rPr>
        <w:t>覆盖一线/新一线/二线全能级（含广州 4 项产业园配套）</w:t>
      </w:r>
      <w:r>
        <w:rPr>
          <w:rFonts w:ascii="微软雅黑" w:hAnsi="微软雅黑" w:eastAsia="微软雅黑"/>
          <w:sz w:val="20"/>
        </w:rPr>
        <w:t>。</w:t>
      </w:r>
    </w:p>
    <w:p w14:paraId="22D371FA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内部 3 类落地对齐（跨条线问题）</w:t>
      </w:r>
      <w:r>
        <w:rPr>
          <w:rFonts w:ascii="微软雅黑" w:hAnsi="微软雅黑" w:eastAsia="微软雅黑"/>
          <w:sz w:val="20"/>
        </w:rPr>
        <w:t>：项目落地除外部协调外，贝壳内部存在 4 类机制性卡点需要本周内分线 owner 锁定——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2344"/>
        <w:gridCol w:w="3343"/>
        <w:gridCol w:w="4346"/>
      </w:tblGrid>
      <w:tr w14:paraId="63FFCF7E">
        <w:tc>
          <w:tcPr>
            <w:tcW w:w="507" w:type="dxa"/>
          </w:tcPr>
          <w:p w14:paraId="579566AB"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w="2344" w:type="dxa"/>
          </w:tcPr>
          <w:p w14:paraId="44F723A9">
            <w:r>
              <w:rPr>
                <w:rFonts w:ascii="微软雅黑" w:hAnsi="微软雅黑" w:eastAsia="微软雅黑"/>
                <w:b/>
                <w:sz w:val="18"/>
              </w:rPr>
              <w:t>落地类别</w:t>
            </w:r>
          </w:p>
        </w:tc>
        <w:tc>
          <w:tcPr>
            <w:tcW w:w="3343" w:type="dxa"/>
          </w:tcPr>
          <w:p w14:paraId="78E9A297">
            <w:r>
              <w:rPr>
                <w:rFonts w:ascii="微软雅黑" w:hAnsi="微软雅黑" w:eastAsia="微软雅黑"/>
                <w:b/>
                <w:sz w:val="18"/>
              </w:rPr>
              <w:t>关键问题</w:t>
            </w:r>
          </w:p>
        </w:tc>
        <w:tc>
          <w:tcPr>
            <w:tcW w:w="4346" w:type="dxa"/>
          </w:tcPr>
          <w:p w14:paraId="46EB400C">
            <w:r>
              <w:rPr>
                <w:rFonts w:ascii="微软雅黑" w:hAnsi="微软雅黑" w:eastAsia="微软雅黑"/>
                <w:b/>
                <w:sz w:val="18"/>
              </w:rPr>
              <w:t>建议动作 / 口径</w:t>
            </w:r>
          </w:p>
        </w:tc>
      </w:tr>
      <w:tr w14:paraId="1C3C2BAF">
        <w:tc>
          <w:tcPr>
            <w:tcW w:w="507" w:type="dxa"/>
          </w:tcPr>
          <w:p w14:paraId="42B25FA7">
            <w:pPr>
              <w:spacing w:before="0"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344" w:type="dxa"/>
          </w:tcPr>
          <w:p w14:paraId="25FF6EC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目标对齐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（与惠居拉通）</w:t>
            </w:r>
          </w:p>
        </w:tc>
        <w:tc>
          <w:tcPr>
            <w:tcW w:w="3343" w:type="dxa"/>
          </w:tcPr>
          <w:p w14:paraId="62622A56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集中式省心租目前不计入城市考核，城市总"又想做又犹豫"，机制性观望</w:t>
            </w:r>
          </w:p>
        </w:tc>
        <w:tc>
          <w:tcPr>
            <w:tcW w:w="4346" w:type="dxa"/>
          </w:tcPr>
          <w:p w14:paraId="32D356BA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与惠居拉通：① 将集中式省心租纳入城市考核口径；或 ② 单列保租房专项考核，给城市总明确赛道</w:t>
            </w:r>
          </w:p>
        </w:tc>
      </w:tr>
      <w:tr w14:paraId="20577E32">
        <w:tc>
          <w:tcPr>
            <w:tcW w:w="507" w:type="dxa"/>
          </w:tcPr>
          <w:p w14:paraId="40185C97">
            <w:pPr>
              <w:spacing w:before="0"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344" w:type="dxa"/>
          </w:tcPr>
          <w:p w14:paraId="61ED1997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流程捋顺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（GR 作为项目负责人）</w:t>
            </w:r>
          </w:p>
        </w:tc>
        <w:tc>
          <w:tcPr>
            <w:tcW w:w="3343" w:type="dxa"/>
          </w:tcPr>
          <w:p w14:paraId="19350C56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多条线介入项目线索（商业化/一赛道/省心租/美租/事业部）易失锚，无统一线索入口</w:t>
            </w:r>
          </w:p>
        </w:tc>
        <w:tc>
          <w:tcPr>
            <w:tcW w:w="4346" w:type="dxa"/>
          </w:tcPr>
          <w:p w14:paraId="29CF3E7A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GR 线作为项目负责人：统一线索入口、汇总项目台账、贯穿全流程节奏跟进</w:t>
            </w:r>
          </w:p>
        </w:tc>
      </w:tr>
      <w:tr w14:paraId="0854C91C">
        <w:tc>
          <w:tcPr>
            <w:tcW w:w="507" w:type="dxa"/>
          </w:tcPr>
          <w:p w14:paraId="1639CBBA">
            <w:pPr>
              <w:spacing w:before="0"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344" w:type="dxa"/>
          </w:tcPr>
          <w:p w14:paraId="07B3D6D9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业绩规则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（跨条线分账）</w:t>
            </w:r>
          </w:p>
        </w:tc>
        <w:tc>
          <w:tcPr>
            <w:tcW w:w="3343" w:type="dxa"/>
          </w:tcPr>
          <w:p w14:paraId="28195C45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商业化事业部 / 一赛道 / 和惠居省心租 / 惠居美租 / 事业部业绩归属边界不清，无统一分账口径</w:t>
            </w:r>
          </w:p>
        </w:tc>
        <w:tc>
          <w:tcPr>
            <w:tcW w:w="4346" w:type="dxa"/>
          </w:tcPr>
          <w:p w14:paraId="21D60A93"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三段式分账（建议口径）：① 线索 3%（任何部门均可）+ ② 供应链运营 2%（美租）+ ③ 运营管理 3%（一赛道 / 公寓 / 省心租）</w:t>
            </w:r>
          </w:p>
        </w:tc>
      </w:tr>
      <w:tr w14:paraId="6CA67460">
        <w:tc>
          <w:tcPr>
            <w:tcW w:w="507" w:type="dxa"/>
          </w:tcPr>
          <w:p w14:paraId="0825A835">
            <w:pPr>
              <w:spacing w:before="0" w:after="0"/>
              <w:rPr>
                <w:rFonts w:hint="eastAsia" w:ascii="微软雅黑" w:hAnsi="微软雅黑" w:eastAsia="微软雅黑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2344" w:type="dxa"/>
          </w:tcPr>
          <w:p w14:paraId="6AC50501">
            <w:pPr>
              <w:spacing w:before="0" w:after="0"/>
              <w:rPr>
                <w:rFonts w:hint="eastAsia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持续运营</w:t>
            </w:r>
          </w:p>
          <w:p w14:paraId="23D34BAE">
            <w:pPr>
              <w:spacing w:before="0" w:after="0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（谁对效果负责）</w:t>
            </w:r>
          </w:p>
        </w:tc>
        <w:tc>
          <w:tcPr>
            <w:tcW w:w="3343" w:type="dxa"/>
          </w:tcPr>
          <w:p w14:paraId="430BD310">
            <w:pPr>
              <w:spacing w:before="0" w:after="0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· 招租：需要有人对项目整体负责</w:t>
            </w:r>
          </w:p>
          <w:p w14:paraId="3B4258DF">
            <w:pPr>
              <w:spacing w:before="0" w:after="0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· 租务：部分国企有自己的物业公司</w:t>
            </w:r>
          </w:p>
        </w:tc>
        <w:tc>
          <w:tcPr>
            <w:tcW w:w="4346" w:type="dxa"/>
          </w:tcPr>
          <w:p w14:paraId="48C94128">
            <w:pPr>
              <w:numPr>
                <w:ilvl w:val="0"/>
                <w:numId w:val="0"/>
              </w:numPr>
              <w:spacing w:before="0" w:after="0"/>
              <w:ind w:leftChars="0"/>
              <w:rPr>
                <w:rFonts w:hint="eastAsia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· 借鉴沈阳模式，一赛道有招租总负责人</w:t>
            </w:r>
          </w:p>
          <w:p w14:paraId="1042F32B">
            <w:pPr>
              <w:numPr>
                <w:ilvl w:val="0"/>
                <w:numId w:val="0"/>
              </w:numPr>
              <w:spacing w:before="0" w:after="0"/>
              <w:ind w:leftChars="0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· 如果国企自己指定物业，仍然用贝壳系统，但是物业费减免。</w:t>
            </w:r>
          </w:p>
        </w:tc>
      </w:tr>
    </w:tbl>
    <w:p w14:paraId="4F6DC5D9">
      <w:pPr>
        <w:spacing w:before="0" w:after="40" w:line="276" w:lineRule="auto"/>
        <w:ind w:left="113"/>
      </w:pPr>
      <w:r>
        <w:rPr>
          <w:rFonts w:ascii="微软雅黑" w:hAnsi="微软雅黑" w:eastAsia="微软雅黑"/>
          <w:b/>
          <w:sz w:val="20"/>
        </w:rPr>
        <w:t>· 内部对齐节奏建议</w:t>
      </w:r>
      <w:r>
        <w:rPr>
          <w:rFonts w:ascii="微软雅黑" w:hAnsi="微软雅黑" w:eastAsia="微软雅黑"/>
          <w:sz w:val="20"/>
        </w:rPr>
        <w:t>：本周内由战略与人力线召集</w:t>
      </w:r>
      <w:r>
        <w:rPr>
          <w:rFonts w:ascii="微软雅黑" w:hAnsi="微软雅黑" w:eastAsia="微软雅黑"/>
          <w:b/>
          <w:sz w:val="20"/>
        </w:rPr>
        <w:t>跨条线对齐会</w:t>
      </w:r>
      <w:r>
        <w:rPr>
          <w:rFonts w:ascii="微软雅黑" w:hAnsi="微软雅黑" w:eastAsia="微软雅黑"/>
          <w:sz w:val="20"/>
        </w:rPr>
        <w:t>，把目标考核口径、GR 项目负责人定位、三段式业绩分账规则、持续运营责任（招租总+物业费减免）写入下季度 OKR 与考核口径，避免一线推进时机制空转、城市总持续观望。</w:t>
      </w:r>
    </w:p>
    <w:sectPr>
      <w:pgSz w:w="12240" w:h="15840"/>
      <w:pgMar w:top="680" w:right="850" w:bottom="68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9F54A8"/>
    <w:rsid w:val="BFF7104F"/>
    <w:rsid w:val="CBBFE0B2"/>
    <w:rsid w:val="CDF5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5592</Words>
  <Characters>5830</Characters>
  <Lines>0</Lines>
  <Paragraphs>0</Paragraphs>
  <TotalTime>26</TotalTime>
  <ScaleCrop>false</ScaleCrop>
  <LinksUpToDate>false</LinksUpToDate>
  <CharactersWithSpaces>6082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千丈之松</cp:lastModifiedBy>
  <dcterms:modified xsi:type="dcterms:W3CDTF">2026-06-05T14:19:33Z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1A16DC6096151FC01340226A96655DE2_43</vt:lpwstr>
  </property>
</Properties>
</file>