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假设检验</w:t>
      </w:r>
    </w:p>
    <w:p>
      <w:pPr>
        <w:pStyle w:val="Author"/>
      </w:pPr>
      <w:r>
        <w:t xml:space="preserve">Demo</w:t>
      </w:r>
    </w:p>
    <w:p>
      <w:pPr>
        <w:pStyle w:val="Date"/>
      </w:pPr>
      <w:r>
        <w:t xml:space="preserve">2022-11-26</w:t>
      </w:r>
    </w:p>
    <w:bookmarkStart w:id="20" w:name="t-test"/>
    <w:p>
      <w:pPr>
        <w:pStyle w:val="Heading1"/>
      </w:pPr>
      <w:r>
        <w:t xml:space="preserve">T-test</w:t>
      </w:r>
    </w:p>
    <w:p>
      <w:pPr>
        <w:pStyle w:val="FirstParagraph"/>
      </w:pPr>
      <w:r>
        <w:t xml:space="preserve">H0a: The average price of second-hand housing in the Central Region is not smaller than those in Outside Central Region.</w:t>
      </w:r>
    </w:p>
    <w:p>
      <w:pPr>
        <w:pStyle w:val="BodyText"/>
      </w:pPr>
      <w:r>
        <w:t xml:space="preserve">H1a: The average price of second-hand housing in the Central Region is smaller than those in Outside Central Region.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"h_data.csv"</w:t>
      </w:r>
      <w:r>
        <w:rPr>
          <w:rStyle w:val="NormalTok"/>
        </w:rPr>
        <w:t xml:space="preserve">)</w:t>
      </w:r>
    </w:p>
    <w:p>
      <w:pPr>
        <w:pStyle w:val="FirstParagraph"/>
      </w:pPr>
      <w:r>
        <w:t xml:space="preserve">Filter out houses in Outside Central Region</w:t>
      </w:r>
    </w:p>
    <w:p>
      <w:pPr>
        <w:pStyle w:val="SourceCode"/>
      </w:pPr>
      <w:r>
        <w:rPr>
          <w:rStyle w:val="NormalTok"/>
        </w:rPr>
        <w:t xml:space="preserve">CR </w:t>
      </w:r>
      <w:r>
        <w:rPr>
          <w:rStyle w:val="OtherTok"/>
        </w:rPr>
        <w:t xml:space="preserve">&lt;-</w:t>
      </w:r>
      <w:r>
        <w:rPr>
          <w:rStyle w:val="NormalTok"/>
        </w:rPr>
        <w:t xml:space="preserve"> </w:t>
      </w:r>
      <w:r>
        <w:rPr>
          <w:rStyle w:val="FunctionTok"/>
        </w:rPr>
        <w:t xml:space="preserve">subset</w:t>
      </w:r>
      <w:r>
        <w:rPr>
          <w:rStyle w:val="NormalTok"/>
        </w:rPr>
        <w:t xml:space="preserve">(data,data</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"OCR"</w:t>
      </w:r>
      <w:r>
        <w:rPr>
          <w:rStyle w:val="NormalTok"/>
        </w:rPr>
        <w:t xml:space="preserve">)</w:t>
      </w:r>
    </w:p>
    <w:p>
      <w:pPr>
        <w:pStyle w:val="FirstParagraph"/>
      </w:pPr>
      <w:r>
        <w:t xml:space="preserve">Filter out houses in Central Region</w:t>
      </w:r>
    </w:p>
    <w:p>
      <w:pPr>
        <w:pStyle w:val="SourceCode"/>
      </w:pPr>
      <w:r>
        <w:rPr>
          <w:rStyle w:val="NormalTok"/>
        </w:rPr>
        <w:t xml:space="preserve">OCR </w:t>
      </w:r>
      <w:r>
        <w:rPr>
          <w:rStyle w:val="OtherTok"/>
        </w:rPr>
        <w:t xml:space="preserve">&lt;-</w:t>
      </w:r>
      <w:r>
        <w:rPr>
          <w:rStyle w:val="NormalTok"/>
        </w:rPr>
        <w:t xml:space="preserve"> </w:t>
      </w:r>
      <w:r>
        <w:rPr>
          <w:rStyle w:val="FunctionTok"/>
        </w:rPr>
        <w:t xml:space="preserve">subset</w:t>
      </w:r>
      <w:r>
        <w:rPr>
          <w:rStyle w:val="NormalTok"/>
        </w:rPr>
        <w:t xml:space="preserve">(data,data</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"OCR"</w:t>
      </w:r>
      <w:r>
        <w:rPr>
          <w:rStyle w:val="NormalTok"/>
        </w:rPr>
        <w:t xml:space="preserve">)</w:t>
      </w:r>
    </w:p>
    <w:p>
      <w:pPr>
        <w:pStyle w:val="SourceCode"/>
      </w:pPr>
      <w:r>
        <w:rPr>
          <w:rStyle w:val="NormalTok"/>
        </w:rPr>
        <w:t xml:space="preserve">PCR</w:t>
      </w:r>
      <w:r>
        <w:rPr>
          <w:rStyle w:val="OtherTok"/>
        </w:rPr>
        <w:t xml:space="preserve">=</w:t>
      </w:r>
      <w:r>
        <w:rPr>
          <w:rStyle w:val="NormalTok"/>
        </w:rPr>
        <w:t xml:space="preserve">CR</w:t>
      </w:r>
      <w:r>
        <w:rPr>
          <w:rStyle w:val="SpecialCharTok"/>
        </w:rPr>
        <w:t xml:space="preserve">$</w:t>
      </w:r>
      <w:r>
        <w:rPr>
          <w:rStyle w:val="NormalTok"/>
        </w:rPr>
        <w:t xml:space="preserve">price_pre_sqm</w:t>
      </w:r>
      <w:r>
        <w:br/>
      </w:r>
      <w:r>
        <w:rPr>
          <w:rStyle w:val="NormalTok"/>
        </w:rPr>
        <w:t xml:space="preserve">POCR</w:t>
      </w:r>
      <w:r>
        <w:rPr>
          <w:rStyle w:val="OtherTok"/>
        </w:rPr>
        <w:t xml:space="preserve">=</w:t>
      </w:r>
      <w:r>
        <w:rPr>
          <w:rStyle w:val="NormalTok"/>
        </w:rPr>
        <w:t xml:space="preserve">OCR</w:t>
      </w:r>
      <w:r>
        <w:rPr>
          <w:rStyle w:val="SpecialCharTok"/>
        </w:rPr>
        <w:t xml:space="preserve">$</w:t>
      </w:r>
      <w:r>
        <w:rPr>
          <w:rStyle w:val="NormalTok"/>
        </w:rPr>
        <w:t xml:space="preserve">price_pre_sqm</w:t>
      </w:r>
      <w:r>
        <w:br/>
      </w:r>
      <w:r>
        <w:rPr>
          <w:rStyle w:val="NormalTok"/>
        </w:rPr>
        <w:t xml:space="preserve">x1</w:t>
      </w:r>
      <w:r>
        <w:rPr>
          <w:rStyle w:val="OtherTok"/>
        </w:rPr>
        <w:t xml:space="preserve">=</w:t>
      </w:r>
      <w:r>
        <w:rPr>
          <w:rStyle w:val="FunctionTok"/>
        </w:rPr>
        <w:t xml:space="preserve">mean</w:t>
      </w:r>
      <w:r>
        <w:rPr>
          <w:rStyle w:val="NormalTok"/>
        </w:rPr>
        <w:t xml:space="preserve">(PCR)</w:t>
      </w:r>
      <w:r>
        <w:br/>
      </w:r>
      <w:r>
        <w:rPr>
          <w:rStyle w:val="NormalTok"/>
        </w:rPr>
        <w:t xml:space="preserve">x1</w:t>
      </w:r>
    </w:p>
    <w:p>
      <w:pPr>
        <w:pStyle w:val="SourceCode"/>
      </w:pPr>
      <w:r>
        <w:rPr>
          <w:rStyle w:val="VerbatimChar"/>
        </w:rPr>
        <w:t xml:space="preserve">## [1] 6001.862</w:t>
      </w:r>
    </w:p>
    <w:p>
      <w:pPr>
        <w:pStyle w:val="SourceCode"/>
      </w:pPr>
      <w:r>
        <w:rPr>
          <w:rStyle w:val="NormalTok"/>
        </w:rPr>
        <w:t xml:space="preserve">x2</w:t>
      </w:r>
      <w:r>
        <w:rPr>
          <w:rStyle w:val="OtherTok"/>
        </w:rPr>
        <w:t xml:space="preserve">=</w:t>
      </w:r>
      <w:r>
        <w:rPr>
          <w:rStyle w:val="FunctionTok"/>
        </w:rPr>
        <w:t xml:space="preserve">mean</w:t>
      </w:r>
      <w:r>
        <w:rPr>
          <w:rStyle w:val="NormalTok"/>
        </w:rPr>
        <w:t xml:space="preserve">(POCR)</w:t>
      </w:r>
      <w:r>
        <w:br/>
      </w:r>
      <w:r>
        <w:rPr>
          <w:rStyle w:val="NormalTok"/>
        </w:rPr>
        <w:t xml:space="preserve">x2</w:t>
      </w:r>
    </w:p>
    <w:p>
      <w:pPr>
        <w:pStyle w:val="SourceCode"/>
      </w:pPr>
      <w:r>
        <w:rPr>
          <w:rStyle w:val="VerbatimChar"/>
        </w:rPr>
        <w:t xml:space="preserve">## [1] 4187.315</w:t>
      </w:r>
    </w:p>
    <w:p>
      <w:pPr>
        <w:pStyle w:val="SourceCode"/>
      </w:pPr>
      <w:r>
        <w:rPr>
          <w:rStyle w:val="NormalTok"/>
        </w:rPr>
        <w:t xml:space="preserve">s1</w:t>
      </w:r>
      <w:r>
        <w:rPr>
          <w:rStyle w:val="OtherTok"/>
        </w:rPr>
        <w:t xml:space="preserve">=</w:t>
      </w:r>
      <w:r>
        <w:rPr>
          <w:rStyle w:val="FunctionTok"/>
        </w:rPr>
        <w:t xml:space="preserve">var</w:t>
      </w:r>
      <w:r>
        <w:rPr>
          <w:rStyle w:val="NormalTok"/>
        </w:rPr>
        <w:t xml:space="preserve">(PCR)</w:t>
      </w:r>
      <w:r>
        <w:br/>
      </w:r>
      <w:r>
        <w:rPr>
          <w:rStyle w:val="NormalTok"/>
        </w:rPr>
        <w:t xml:space="preserve">s1</w:t>
      </w:r>
    </w:p>
    <w:p>
      <w:pPr>
        <w:pStyle w:val="SourceCode"/>
      </w:pPr>
      <w:r>
        <w:rPr>
          <w:rStyle w:val="VerbatimChar"/>
        </w:rPr>
        <w:t xml:space="preserve">## [1] 2209270</w:t>
      </w:r>
    </w:p>
    <w:p>
      <w:pPr>
        <w:pStyle w:val="SourceCode"/>
      </w:pPr>
      <w:r>
        <w:rPr>
          <w:rStyle w:val="NormalTok"/>
        </w:rPr>
        <w:t xml:space="preserve">s2</w:t>
      </w:r>
      <w:r>
        <w:rPr>
          <w:rStyle w:val="OtherTok"/>
        </w:rPr>
        <w:t xml:space="preserve">=</w:t>
      </w:r>
      <w:r>
        <w:rPr>
          <w:rStyle w:val="FunctionTok"/>
        </w:rPr>
        <w:t xml:space="preserve">var</w:t>
      </w:r>
      <w:r>
        <w:rPr>
          <w:rStyle w:val="NormalTok"/>
        </w:rPr>
        <w:t xml:space="preserve">(POCR)</w:t>
      </w:r>
      <w:r>
        <w:br/>
      </w:r>
      <w:r>
        <w:rPr>
          <w:rStyle w:val="NormalTok"/>
        </w:rPr>
        <w:t xml:space="preserve">s2</w:t>
      </w:r>
    </w:p>
    <w:p>
      <w:pPr>
        <w:pStyle w:val="SourceCode"/>
      </w:pPr>
      <w:r>
        <w:rPr>
          <w:rStyle w:val="VerbatimChar"/>
        </w:rPr>
        <w:t xml:space="preserve">## [1] 609594.8</w:t>
      </w:r>
    </w:p>
    <w:p>
      <w:pPr>
        <w:pStyle w:val="SourceCode"/>
      </w:pPr>
      <w:r>
        <w:rPr>
          <w:rStyle w:val="NormalTok"/>
        </w:rPr>
        <w:t xml:space="preserve">t</w:t>
      </w:r>
      <w:r>
        <w:rPr>
          <w:rStyle w:val="Othe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FunctionTok"/>
        </w:rPr>
        <w:t xml:space="preserve">sqrt</w:t>
      </w:r>
      <w:r>
        <w:rPr>
          <w:rStyle w:val="NormalTok"/>
        </w:rPr>
        <w:t xml:space="preserve">((s1</w:t>
      </w:r>
      <w:r>
        <w:rPr>
          <w:rStyle w:val="SpecialCharTok"/>
        </w:rPr>
        <w:t xml:space="preserve">/</w:t>
      </w:r>
      <w:r>
        <w:rPr>
          <w:rStyle w:val="FunctionTok"/>
        </w:rPr>
        <w:t xml:space="preserve">length</w:t>
      </w:r>
      <w:r>
        <w:rPr>
          <w:rStyle w:val="NormalTok"/>
        </w:rPr>
        <w:t xml:space="preserve">(PCR))</w:t>
      </w:r>
      <w:r>
        <w:rPr>
          <w:rStyle w:val="SpecialCharTok"/>
        </w:rPr>
        <w:t xml:space="preserve">+</w:t>
      </w:r>
      <w:r>
        <w:rPr>
          <w:rStyle w:val="NormalTok"/>
        </w:rPr>
        <w:t xml:space="preserve">(s2</w:t>
      </w:r>
      <w:r>
        <w:rPr>
          <w:rStyle w:val="SpecialCharTok"/>
        </w:rPr>
        <w:t xml:space="preserve">/</w:t>
      </w:r>
      <w:r>
        <w:rPr>
          <w:rStyle w:val="FunctionTok"/>
        </w:rPr>
        <w:t xml:space="preserve">length</w:t>
      </w:r>
      <w:r>
        <w:rPr>
          <w:rStyle w:val="NormalTok"/>
        </w:rPr>
        <w:t xml:space="preserve">(POCR)))</w:t>
      </w:r>
      <w:r>
        <w:br/>
      </w:r>
      <w:r>
        <w:rPr>
          <w:rStyle w:val="NormalTok"/>
        </w:rPr>
        <w:t xml:space="preserve">t</w:t>
      </w:r>
    </w:p>
    <w:p>
      <w:pPr>
        <w:pStyle w:val="SourceCode"/>
      </w:pPr>
      <w:r>
        <w:rPr>
          <w:rStyle w:val="VerbatimChar"/>
        </w:rPr>
        <w:t xml:space="preserve">## [1] 107.3671</w:t>
      </w:r>
    </w:p>
    <w:p>
      <w:pPr>
        <w:pStyle w:val="SourceCode"/>
      </w:pPr>
      <w:r>
        <w:rPr>
          <w:rStyle w:val="NormalTok"/>
        </w:rPr>
        <w:t xml:space="preserve">t_base</w:t>
      </w:r>
      <w:r>
        <w:rPr>
          <w:rStyle w:val="OtherTok"/>
        </w:rPr>
        <w:t xml:space="preserve">=</w:t>
      </w:r>
      <w:r>
        <w:rPr>
          <w:rStyle w:val="FunctionTok"/>
        </w:rPr>
        <w:t xml:space="preserve">qt</w:t>
      </w:r>
      <w:r>
        <w:rPr>
          <w:rStyle w:val="NormalTok"/>
        </w:rPr>
        <w:t xml:space="preserve">(</w:t>
      </w:r>
      <w:r>
        <w:rPr>
          <w:rStyle w:val="FloatTok"/>
        </w:rPr>
        <w:t xml:space="preserve">0.05</w:t>
      </w:r>
      <w:r>
        <w:rPr>
          <w:rStyle w:val="NormalTok"/>
        </w:rPr>
        <w:t xml:space="preserve">,</w:t>
      </w:r>
      <w:r>
        <w:rPr>
          <w:rStyle w:val="FunctionTok"/>
        </w:rPr>
        <w:t xml:space="preserve">length</w:t>
      </w:r>
      <w:r>
        <w:rPr>
          <w:rStyle w:val="NormalTok"/>
        </w:rPr>
        <w:t xml:space="preserve">(PCR)</w:t>
      </w:r>
      <w:r>
        <w:rPr>
          <w:rStyle w:val="SpecialCharTok"/>
        </w:rPr>
        <w:t xml:space="preserve">+</w:t>
      </w:r>
      <w:r>
        <w:rPr>
          <w:rStyle w:val="FunctionTok"/>
        </w:rPr>
        <w:t xml:space="preserve">length</w:t>
      </w:r>
      <w:r>
        <w:rPr>
          <w:rStyle w:val="NormalTok"/>
        </w:rPr>
        <w:t xml:space="preserve">(POCR)</w:t>
      </w:r>
      <w:r>
        <w:rPr>
          <w:rStyle w:val="SpecialCharTok"/>
        </w:rPr>
        <w:t xml:space="preserve">-</w:t>
      </w:r>
      <w:r>
        <w:rPr>
          <w:rStyle w:val="DecValTok"/>
        </w:rPr>
        <w:t xml:space="preserve">2</w:t>
      </w:r>
      <w:r>
        <w:rPr>
          <w:rStyle w:val="NormalTok"/>
        </w:rPr>
        <w:t xml:space="preserve">)</w:t>
      </w:r>
      <w:r>
        <w:br/>
      </w:r>
      <w:r>
        <w:rPr>
          <w:rStyle w:val="NormalTok"/>
        </w:rPr>
        <w:t xml:space="preserve">t_base</w:t>
      </w:r>
    </w:p>
    <w:p>
      <w:pPr>
        <w:pStyle w:val="SourceCode"/>
      </w:pPr>
      <w:r>
        <w:rPr>
          <w:rStyle w:val="VerbatimChar"/>
        </w:rPr>
        <w:t xml:space="preserve">## [1] -1.64489</w:t>
      </w:r>
    </w:p>
    <w:p>
      <w:pPr>
        <w:pStyle w:val="FirstParagraph"/>
      </w:pPr>
      <w:r>
        <w:t xml:space="preserve">Result: Because t&gt;-t_base=1.64489, we can not reject h0.</w:t>
      </w:r>
    </w:p>
    <w:p>
      <w:pPr>
        <w:pStyle w:val="BodyText"/>
      </w:pPr>
      <w:r>
        <w:t xml:space="preserve">Therefore, we have 95% confident that the average price of second-hand housing in the Central Region is not smaller than those in Outside Central Region.</w:t>
      </w:r>
    </w:p>
    <w:bookmarkEnd w:id="20"/>
    <w:bookmarkStart w:id="21" w:name="wilcoxon-rank-sum-test"/>
    <w:p>
      <w:pPr>
        <w:pStyle w:val="Heading1"/>
      </w:pPr>
      <w:r>
        <w:t xml:space="preserve">Wilcoxon Rank Sum Test</w:t>
      </w:r>
    </w:p>
    <w:p>
      <w:pPr>
        <w:pStyle w:val="FirstParagraph"/>
      </w:pPr>
      <w:r>
        <w:t xml:space="preserve">Wilcoxon秩和检验，即”秩和检验”。 先将两样本看成是单一样本（混合样本）然后由小到大排列观察值统一编秩。如果原假设两个独立样本来自相同的总体为真，那么秩将大约均匀分布在两个样本中，即小的、中等的、大的秩值应该大约被均匀分在两个样本中。如果备选假设两个独立样本来自不相同的总体为真，那么其中一个样本将会有更多的小秩值，这样就会得到一个较小的秩和；另一个样本将会有更多的大秩值，因此就会得到一个较大的秩和。</w:t>
      </w:r>
    </w:p>
    <w:p>
      <w:pPr>
        <w:pStyle w:val="BodyText"/>
      </w:pPr>
      <w:r>
        <w:t xml:space="preserve">A popular nonparametric test to compare outcomes between two independent groups is the Mann Whitney U test. The Mann Whitney U test, sometimes called the Mann Whitney Wilcoxon Test or the Wilcoxon Rank Sum Test, is used to test whether two samples are likely to derive from the same population (i.e., that the two populations have the same shape). Some investigators interpret this test as comparing the medians between the two populations. Recall that the parametric test compares the means (H0: μ1=μ2) between independent groups.</w:t>
      </w:r>
    </w:p>
    <w:p>
      <w:pPr>
        <w:pStyle w:val="BodyText"/>
      </w:pPr>
      <w:r>
        <w:t xml:space="preserve">In contrast, the null and two-sided research hypotheses for the nonparametric test are stated as follows:</w:t>
      </w:r>
    </w:p>
    <w:p>
      <w:pPr>
        <w:pStyle w:val="BodyText"/>
      </w:pPr>
      <w:r>
        <w:t xml:space="preserve">H0: The two populations are equal versus. (The average price of second-hand housing in the Central Region is equal to those in Outside Central Region.)</w:t>
      </w:r>
    </w:p>
    <w:p>
      <w:pPr>
        <w:pStyle w:val="BodyText"/>
      </w:pPr>
      <w:r>
        <w:t xml:space="preserve">H1: The two populations are not equal. (The average price of second-hand housing in the Central Region is not equal to those in Outside Central Region.)</w:t>
      </w:r>
    </w:p>
    <w:p>
      <w:pPr>
        <w:pStyle w:val="SourceCode"/>
      </w:pPr>
      <w:r>
        <w:rPr>
          <w:rStyle w:val="CommentTok"/>
        </w:rPr>
        <w:t xml:space="preserve"># help(wilcox.test)</w:t>
      </w:r>
      <w:r>
        <w:br/>
      </w:r>
      <w:r>
        <w:rPr>
          <w:rStyle w:val="FunctionTok"/>
        </w:rPr>
        <w:t xml:space="preserve">wilcox.test</w:t>
      </w:r>
      <w:r>
        <w:rPr>
          <w:rStyle w:val="NormalTok"/>
        </w:rPr>
        <w:t xml:space="preserve">(price_pre_sqm</w:t>
      </w:r>
      <w:r>
        <w:rPr>
          <w:rStyle w:val="SpecialCharTok"/>
        </w:rPr>
        <w:t xml:space="preserve">~</w:t>
      </w:r>
      <w:r>
        <w:rPr>
          <w:rStyle w:val="NormalTok"/>
        </w:rPr>
        <w:t xml:space="preserve">CR_OCR,</w:t>
      </w:r>
      <w:r>
        <w:rPr>
          <w:rStyle w:val="AttributeTok"/>
        </w:rPr>
        <w:t xml:space="preserve">data=</w:t>
      </w:r>
      <w:r>
        <w:rPr>
          <w:rStyle w:val="NormalTok"/>
        </w:rPr>
        <w:t xml:space="preserve">data)</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price_pre_sqm by CR_OCR</w:t>
      </w:r>
      <w:r>
        <w:br/>
      </w:r>
      <w:r>
        <w:rPr>
          <w:rStyle w:val="VerbatimChar"/>
        </w:rPr>
        <w:t xml:space="preserve">## W = 244739953, p-value &lt; 2.2e-16</w:t>
      </w:r>
      <w:r>
        <w:br/>
      </w:r>
      <w:r>
        <w:rPr>
          <w:rStyle w:val="VerbatimChar"/>
        </w:rPr>
        <w:t xml:space="preserve">## alternative hypothesis: true location shift is not equal to 0</w:t>
      </w:r>
    </w:p>
    <w:p>
      <w:pPr>
        <w:pStyle w:val="FirstParagraph"/>
      </w:pPr>
      <w:r>
        <w:t xml:space="preserve">Since p-value is smaller than 0.01, we reject H0.</w:t>
      </w:r>
    </w:p>
    <w:p>
      <w:pPr>
        <w:pStyle w:val="BodyText"/>
      </w:pPr>
      <w:r>
        <w:t xml:space="preserve">We have 99% confident that the average price of second-hand housing in the Central Region is different from those in Outside Central Region.</w:t>
      </w:r>
    </w:p>
    <w:bookmarkEnd w:id="21"/>
    <w:bookmarkStart w:id="22" w:name="思路"/>
    <w:p>
      <w:pPr>
        <w:pStyle w:val="Heading1"/>
      </w:pPr>
      <w:r>
        <w:t xml:space="preserve">思路</w:t>
      </w:r>
    </w:p>
    <w:p>
      <w:pPr>
        <w:pStyle w:val="FirstParagraph"/>
      </w:pPr>
      <w:r>
        <w:t xml:space="preserve">1.检验是否满足基本假设？ （正态分布 etc）</w:t>
      </w:r>
    </w:p>
    <w:p>
      <w:pPr>
        <w:pStyle w:val="BodyText"/>
      </w:pPr>
      <w:r>
        <w:t xml:space="preserve">是否要做个F检验，看看方差齐不齐</w:t>
      </w:r>
    </w:p>
    <w:p>
      <w:pPr>
        <w:pStyle w:val="BodyText"/>
      </w:pPr>
      <w:r>
        <w:t xml:space="preserve">2.最基本的比较方法</w:t>
      </w:r>
    </w:p>
    <w:p>
      <w:pPr>
        <w:pStyle w:val="BodyText"/>
      </w:pPr>
      <w:r>
        <w:t xml:space="preserve">3.升级方法？（解决样本规模不太一样的原因）</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假设检验</dc:title>
  <dc:creator>Demo</dc:creator>
  <cp:keywords/>
  <dcterms:created xsi:type="dcterms:W3CDTF">2022-11-26T09:54:25Z</dcterms:created>
  <dcterms:modified xsi:type="dcterms:W3CDTF">2022-11-26T09:54:25Z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2022-11-26</vt:lpwstr>
  </property>
  <property fmtid="{D5CDD505-2E9C-101B-9397-08002B2CF9AE}" pid="3" name="output">
    <vt:lpwstr>word_document</vt:lpwstr>
  </property>
</Properties>
</file>