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6 Notes</w:t>
      </w:r>
    </w:p>
    <w:p>
      <w:pPr>
        <w:spacing w:after="300"/>
        <w:jc w:val="center"/>
      </w:pPr>
      <w:r>
        <w:rPr>
          <w:i/>
          <w:iCs/>
          <w:color w:val="444444"/>
          <w:sz w:val="28"/>
          <w:szCs w:val="28"/>
        </w:rPr>
        <w:t xml:space="preserve">Aliasing</w:t>
      </w:r>
    </w:p>
    <w:p>
      <w:pPr>
        <w:spacing w:after="120"/>
      </w:pPr>
      <w:r>
        <w:rPr>
          <w:b/>
          <w:bCs/>
        </w:rPr>
        <w:t xml:space="preserve">Reading: </w:t>
      </w:r>
      <w:r>
        <w:t xml:space="preserve">Textbook §1.6</w:t>
      </w:r>
    </w:p>
    <w:p>
      <w:pPr>
        <w:spacing w:after="300"/>
      </w:pPr>
      <w:r>
        <w:rPr>
          <w:b/>
          <w:bCs/>
        </w:rPr>
        <w:t xml:space="preserve">Thesis of the lecture: </w:t>
      </w:r>
      <w:r>
        <w:t xml:space="preserve">Lecture 5 showed that many sampling periods can produce the same DT sequence; this lecture turns that coin over and shows that many signal frequencies can too — two frequencies f and f′ are aliases whenever f ± f′ = k fs. That is bad news for reconstruction (two distinct signals can become mathematically indistinguishable after sampling) but it comes with a clean fix: if every component of x(t) is confined to a band [0, fB], sampling strictly faster than the Nyquist rate 2fB guarantees no two distinct components can ever alias to each other. The lecture builds toward that one inequality, fs &gt; 2fB, as the sharp dividing line between recoverable and unrecoverable sampling.</w:t>
      </w:r>
    </w:p>
    <w:p>
      <w:pPr>
        <w:pStyle w:val="Heading2"/>
        <w:pBdr>
          <w:bottom w:val="single" w:color="999999" w:sz="6" w:space="4"/>
        </w:pBdr>
        <w:spacing w:after="120" w:before="360"/>
      </w:pPr>
      <w:r>
        <w:rPr>
          <w:b/>
          <w:bCs/>
          <w:color w:val="7A1A1A"/>
        </w:rPr>
        <w:t xml:space="preserve">Slide 1</w:t>
      </w:r>
      <w:r>
        <w:rPr>
          <w:b/>
          <w:bCs/>
        </w:rPr>
        <w:t xml:space="preserve">  —  Title — Aliasing</w:t>
      </w:r>
    </w:p>
    <w:p>
      <w:pPr>
        <w:pStyle w:val="ListParagraph"/>
        <w:numPr>
          <w:ilvl w:val="0"/>
          <w:numId w:val="2"/>
        </w:numPr>
        <w:spacing w:after="80"/>
      </w:pPr>
      <w:r>
        <w:t xml:space="preserve">Subtitle states the problem and the fix in one sentence: two different CT sinusoids can produce identical samples; the fix is the Nyquist rate.</w:t>
      </w:r>
    </w:p>
    <w:p>
      <w:pPr>
        <w:pStyle w:val="ListParagraph"/>
        <w:numPr>
          <w:ilvl w:val="0"/>
          <w:numId w:val="2"/>
        </w:numPr>
        <w:spacing w:after="80"/>
      </w:pPr>
      <w:r>
        <w:t xml:space="preserve">Worth opening class by literally re-reading Lecture 5's closing summary slide (“fs too small ⇒ ambiguity”) — this lecture is the formal, named version of that warning.</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Objective 1 (define aliasing, f±f′=kfs) ↔ slide 3. Objective 2 (enumerate all aliases) ↔ slide 4. Objective 3 (reconstruct x(t) given a known band) ↔ slide 5. Objective 4 (apply the Nyquist rate) ↔ slides 7–10.</w:t>
      </w:r>
    </w:p>
    <w:p>
      <w:pPr>
        <w:pStyle w:val="ListParagraph"/>
        <w:numPr>
          <w:ilvl w:val="0"/>
          <w:numId w:val="2"/>
        </w:numPr>
        <w:spacing w:after="80"/>
      </w:pPr>
      <w:r>
        <w:t xml:space="preserve">Objective 2's word “all” is worth emphasizing — a common student error is finding one alias and stopping, when the definition actually produces two infinite families (the + and − branches) that both need to be checked, as slide 3 explains.</w:t>
      </w:r>
    </w:p>
    <w:p>
      <w:pPr>
        <w:pStyle w:val="Heading2"/>
        <w:pBdr>
          <w:bottom w:val="single" w:color="999999" w:sz="6" w:space="4"/>
        </w:pBdr>
        <w:spacing w:after="120" w:before="360"/>
      </w:pPr>
      <w:r>
        <w:rPr>
          <w:b/>
          <w:bCs/>
          <w:color w:val="7A1A1A"/>
        </w:rPr>
        <w:t xml:space="preserve">Slide 3</w:t>
      </w:r>
      <w:r>
        <w:rPr>
          <w:b/>
          <w:bCs/>
        </w:rPr>
        <w:t xml:space="preserve">  —  Concept — When are f and f′ Aliases?</w:t>
      </w:r>
    </w:p>
    <w:p>
      <w:pPr>
        <w:pStyle w:val="ListParagraph"/>
        <w:numPr>
          <w:ilvl w:val="0"/>
          <w:numId w:val="2"/>
        </w:numPr>
        <w:spacing w:after="80"/>
      </w:pPr>
      <w:r>
        <w:t xml:space="preserve">Definition: f ± f′ = k fs for some integer k — two frequencies are aliases if their samples coincide.</w:t>
      </w:r>
    </w:p>
    <w:p>
      <w:pPr>
        <w:pStyle w:val="ListParagraph"/>
        <w:numPr>
          <w:ilvl w:val="0"/>
          <w:numId w:val="2"/>
        </w:numPr>
        <w:spacing w:after="80"/>
      </w:pPr>
      <w:r>
        <w:t xml:space="preserve">Derivation sketch on the slide: start from Ω=2πf/fs and Ω′=2πf′/fs, then apply Lecture 4's DT equivalence Ω′=±Ω+2kπ and solve for f′ in terms of f, fs, and k.</w:t>
      </w:r>
    </w:p>
    <w:p>
      <w:pPr>
        <w:pBdr>
          <w:left w:val="single" w:color="7A1A1A" w:sz="18" w:space="8"/>
        </w:pBdr>
        <w:spacing w:after="140" w:before="100"/>
        <w:ind w:left="360"/>
      </w:pPr>
      <w:r>
        <w:rPr>
          <w:b/>
          <w:bCs/>
          <w:color w:val="7A1A1A"/>
        </w:rPr>
        <w:t xml:space="preserve">Two families, both required: </w:t>
      </w:r>
      <w:r>
        <w:t xml:space="preserve">The slide states it directly: “The plus and minus give two families of aliases; both must be checked.” This single sentence is the direct algebraic consequence of Lecture 4's Ω≡Ω+2π (giving the +k fs family) and Ω≡−Ω (giving the −f+k fs family) — worth reminding students this is not a new rule, it's the same two equivalences from Lecture 4 slide 7, now solved for frequency instead of Ω.</w:t>
      </w:r>
    </w:p>
    <w:p>
      <w:pPr>
        <w:pStyle w:val="Heading2"/>
        <w:pBdr>
          <w:bottom w:val="single" w:color="999999" w:sz="6" w:space="4"/>
        </w:pBdr>
        <w:spacing w:after="120" w:before="360"/>
      </w:pPr>
      <w:r>
        <w:rPr>
          <w:b/>
          <w:bCs/>
          <w:color w:val="7A1A1A"/>
        </w:rPr>
        <w:t xml:space="preserve">Slide 4</w:t>
      </w:r>
      <w:r>
        <w:rPr>
          <w:b/>
          <w:bCs/>
        </w:rPr>
        <w:t xml:space="preserve">  —  Worked Example — Aliases of 150 Hz</w:t>
      </w:r>
    </w:p>
    <w:p>
      <w:pPr>
        <w:pStyle w:val="ListParagraph"/>
        <w:numPr>
          <w:ilvl w:val="0"/>
          <w:numId w:val="2"/>
        </w:numPr>
        <w:spacing w:after="80"/>
      </w:pPr>
      <w:r>
        <w:rPr>
          <w:b/>
          <w:bCs/>
        </w:rPr>
        <w:t xml:space="preserve">At fs=400 samples/sec: </w:t>
      </w:r>
      <w:r>
        <w:t xml:space="preserve">f′ = 150+400k and f′ = −150+400k. Listed in [0, 2000] Hz: 150, 250, 550, 650, 950, 1050, 1350, 1450, 1750, 1850 Hz — ten values, alternating between the two families roughly every 400 Hz (150,250 differ by 100; 550,650 by 100; and so on, since the two families are offset from each other by 2×150=300 within each 400 Hz block).</w:t>
      </w:r>
    </w:p>
    <w:p>
      <w:pPr>
        <w:pStyle w:val="ListParagraph"/>
        <w:numPr>
          <w:ilvl w:val="0"/>
          <w:numId w:val="2"/>
        </w:numPr>
        <w:spacing w:after="80"/>
      </w:pPr>
      <w:r>
        <w:rPr>
          <w:b/>
          <w:bCs/>
        </w:rPr>
        <w:t xml:space="preserve">At fs=280 samples/sec: </w:t>
      </w:r>
      <w:r>
        <w:t xml:space="preserve">f′ = 150+280k and f′ = −150+280k, giving 150, 130, 430, 410, 690, 710, 970, 990, 1250, 1270, 1530, 1550 Hz, … — a denser set of aliases within the same [0,2000] Hz window because the smaller fs packs more k-steps into the same range.</w:t>
      </w:r>
    </w:p>
    <w:p>
      <w:pPr>
        <w:pBdr>
          <w:left w:val="single" w:color="7A1A1A" w:sz="18" w:space="8"/>
        </w:pBdr>
        <w:spacing w:after="140" w:before="100"/>
        <w:ind w:left="360"/>
      </w:pPr>
      <w:r>
        <w:rPr>
          <w:b/>
          <w:bCs/>
          <w:color w:val="7A1A1A"/>
        </w:rPr>
        <w:t xml:space="preserve">The comparison to draw out loud: </w:t>
      </w:r>
      <w:r>
        <w:t xml:space="preserve">Lowering fs from 400 to 280 doesn't just shift the aliases — it multiplies how many of them fall inside any fixed frequency window, since the spacing between successive aliases scales with fs. This is a concrete numerical preview of why a smaller sampling rate makes ambiguity worse, which slides 6–7 will state as the Nyquist inequality.</w:t>
      </w:r>
    </w:p>
    <w:p>
      <w:pPr>
        <w:pStyle w:val="Heading2"/>
        <w:pBdr>
          <w:bottom w:val="single" w:color="999999" w:sz="6" w:space="4"/>
        </w:pBdr>
        <w:spacing w:after="120" w:before="360"/>
      </w:pPr>
      <w:r>
        <w:rPr>
          <w:b/>
          <w:bCs/>
          <w:color w:val="7A1A1A"/>
        </w:rPr>
        <w:t xml:space="preserve">Slide 5</w:t>
      </w:r>
      <w:r>
        <w:rPr>
          <w:b/>
          <w:bCs/>
        </w:rPr>
        <w:t xml:space="preserve">  —  Worked Example — Reconstruction from Samples</w:t>
      </w:r>
    </w:p>
    <w:p>
      <w:pPr>
        <w:pStyle w:val="ListParagraph"/>
        <w:numPr>
          <w:ilvl w:val="0"/>
          <w:numId w:val="2"/>
        </w:numPr>
        <w:spacing w:after="80"/>
      </w:pPr>
      <w:r>
        <w:t xml:space="preserve">Given a known band f∈[600,800] Hz, sampled at fs=400 samples/sec, the observed sequence is x[n]=4.2cos(0.75πn−0.3). This is the identical numeric example from Lecture 5 slide 11 — worth telling students so they recognize it instead of re-deriving from scratch.</w:t>
      </w:r>
    </w:p>
    <w:p>
      <w:pPr>
        <w:pStyle w:val="ListParagraph"/>
        <w:numPr>
          <w:ilvl w:val="0"/>
          <w:numId w:val="2"/>
        </w:numPr>
        <w:spacing w:after="80"/>
      </w:pPr>
      <w:r>
        <w:rPr>
          <w:b/>
          <w:bCs/>
        </w:rPr>
        <w:t xml:space="preserve">Step 1: </w:t>
      </w:r>
      <w:r>
        <w:t xml:space="preserve">2π f/fs = 0.75π ⟹ f=150 Hz — outside the stated band.</w:t>
      </w:r>
    </w:p>
    <w:p>
      <w:pPr>
        <w:pStyle w:val="ListParagraph"/>
        <w:numPr>
          <w:ilvl w:val="0"/>
          <w:numId w:val="2"/>
        </w:numPr>
        <w:spacing w:after="80"/>
      </w:pPr>
      <w:r>
        <w:rPr>
          <w:b/>
          <w:bCs/>
        </w:rPr>
        <w:t xml:space="preserve">Step 2: </w:t>
      </w:r>
      <w:r>
        <w:t xml:space="preserve">the only alias of 150 Hz that lands in [600,800] Hz at fs=400 is f′=650 Hz, from the −150+2·400 branch of slide 3's two families.</w:t>
      </w:r>
    </w:p>
    <w:p>
      <w:pPr>
        <w:pStyle w:val="ListParagraph"/>
        <w:numPr>
          <w:ilvl w:val="0"/>
          <w:numId w:val="2"/>
        </w:numPr>
        <w:spacing w:after="80"/>
      </w:pPr>
      <w:r>
        <w:rPr>
          <w:b/>
          <w:bCs/>
        </w:rPr>
        <w:t xml:space="preserve">Step 3: </w:t>
      </w:r>
      <w:r>
        <w:t xml:space="preserve">x(t) = 4.2cos(1300πt+0.3) — the phase sign flips from −0.3 to +0.3 because the alias came from the negative branch (Ω↦−Ω), which negates the phase along with the frequency.</w:t>
      </w:r>
    </w:p>
    <w:p>
      <w:pPr>
        <w:pBdr>
          <w:left w:val="single" w:color="7A1A1A" w:sz="18" w:space="8"/>
        </w:pBdr>
        <w:spacing w:after="140" w:before="100"/>
        <w:ind w:left="360"/>
      </w:pPr>
      <w:r>
        <w:rPr>
          <w:b/>
          <w:bCs/>
          <w:color w:val="7A1A1A"/>
        </w:rPr>
        <w:t xml:space="preserve">This is only possible because the band was known: </w:t>
      </w:r>
      <w:r>
        <w:t xml:space="preserve">Explicitly connect to slide 6 next: reconstruction here worked only because prior knowledge (f∈[600,800] Hz) picked out a unique alias among infinitely many candidates. Remove that prior knowledge — or let two components alias into the same Ω — and reconstruction becomes impossible, which is exactly slide 6's point.</w:t>
      </w:r>
    </w:p>
    <w:p>
      <w:pPr>
        <w:pStyle w:val="Heading2"/>
        <w:pBdr>
          <w:bottom w:val="single" w:color="999999" w:sz="6" w:space="4"/>
        </w:pBdr>
        <w:spacing w:after="120" w:before="360"/>
      </w:pPr>
      <w:r>
        <w:rPr>
          <w:b/>
          <w:bCs/>
          <w:color w:val="7A1A1A"/>
        </w:rPr>
        <w:t xml:space="preserve">Slide 6</w:t>
      </w:r>
      <w:r>
        <w:rPr>
          <w:b/>
          <w:bCs/>
        </w:rPr>
        <w:t xml:space="preserve">  —  Concept — Why Two Components Break Reconstruction</w:t>
      </w:r>
    </w:p>
    <w:p>
      <w:pPr>
        <w:pStyle w:val="ListParagraph"/>
        <w:numPr>
          <w:ilvl w:val="0"/>
          <w:numId w:val="2"/>
        </w:numPr>
        <w:spacing w:after="80"/>
      </w:pPr>
      <w:r>
        <w:t xml:space="preserve">If two components of x(t) alias to the same Ω, x[n] no longer pins down x(t) uniquely — this is the failure mode that slide 5's success story depends on avoiding.</w:t>
      </w:r>
    </w:p>
    <w:p>
      <w:pPr>
        <w:pStyle w:val="ListParagraph"/>
        <w:numPr>
          <w:ilvl w:val="0"/>
          <w:numId w:val="2"/>
        </w:numPr>
        <w:spacing w:after="80"/>
      </w:pPr>
      <w:r>
        <w:t xml:space="preserve">Posed as a “try it” question: the same x[n]=4.2cos(0.75πn−0.3) from slide 5 is now claimed to come from two sinusoids at once, 150 Hz and 650 Hz, both sampled at fs=400. Can a unique x(t) still be written down?</w:t>
      </w:r>
    </w:p>
    <w:p>
      <w:pPr>
        <w:pBdr>
          <w:left w:val="single" w:color="7A1A1A" w:sz="18" w:space="8"/>
        </w:pBdr>
        <w:spacing w:after="140" w:before="100"/>
        <w:ind w:left="360"/>
      </w:pPr>
      <w:r>
        <w:rPr>
          <w:b/>
          <w:bCs/>
          <w:color w:val="7A1A1A"/>
        </w:rPr>
        <w:t xml:space="preserve">The answer, and why it matters: </w:t>
      </w:r>
      <w:r>
        <w:t xml:space="preserve">No — both components fold onto the same Ω=0.75π, so the samples alone cannot tell you how the amplitude and phase are split between the 150 Hz piece and the 650 Hz piece. Reconstruction fails completely, not just ambiguously. This is the concrete counter-example that motivates the Nyquist rate on the very next slide: the fix is to guarantee, in advance, that no two distinct in-band frequencies can ever land on the same Ω.</w:t>
      </w:r>
    </w:p>
    <w:p>
      <w:pPr>
        <w:pStyle w:val="Heading2"/>
        <w:pBdr>
          <w:bottom w:val="single" w:color="999999" w:sz="6" w:space="4"/>
        </w:pBdr>
        <w:spacing w:after="120" w:before="360"/>
      </w:pPr>
      <w:r>
        <w:rPr>
          <w:b/>
          <w:bCs/>
          <w:color w:val="7A1A1A"/>
        </w:rPr>
        <w:t xml:space="preserve">Slide 7</w:t>
      </w:r>
      <w:r>
        <w:rPr>
          <w:b/>
          <w:bCs/>
        </w:rPr>
        <w:t xml:space="preserve">  —  Concept — The Nyquist Rate</w:t>
      </w:r>
    </w:p>
    <w:p>
      <w:pPr>
        <w:pStyle w:val="ListParagraph"/>
        <w:numPr>
          <w:ilvl w:val="0"/>
          <w:numId w:val="2"/>
        </w:numPr>
        <w:spacing w:after="80"/>
      </w:pPr>
      <w:r>
        <w:t xml:space="preserve">fs &gt; 2fB — sample strictly faster than twice the highest frequency present in the signal.</w:t>
      </w:r>
    </w:p>
    <w:p>
      <w:pPr>
        <w:pStyle w:val="ListParagraph"/>
        <w:numPr>
          <w:ilvl w:val="0"/>
          <w:numId w:val="2"/>
        </w:numPr>
        <w:spacing w:after="80"/>
      </w:pPr>
      <w:r>
        <w:t xml:space="preserve">If every component of x(t) lies in [0, fB], then fs &gt; 2fB guarantees no two distinct components alias to each other — this is the fix for exactly the failure mode demonstrated on slide 6.</w:t>
      </w:r>
    </w:p>
    <w:p>
      <w:pPr>
        <w:pBdr>
          <w:left w:val="single" w:color="7A1A1A" w:sz="18" w:space="8"/>
        </w:pBdr>
        <w:spacing w:after="140" w:before="100"/>
        <w:ind w:left="360"/>
      </w:pPr>
      <w:r>
        <w:rPr>
          <w:b/>
          <w:bCs/>
          <w:color w:val="7A1A1A"/>
        </w:rPr>
        <w:t xml:space="preserve">The strict inequality is not a technicality: </w:t>
      </w:r>
      <w:r>
        <w:t xml:space="preserve">The slide is explicit: 2fB is the Nyquist rate, and you must strictly exceed it — equality is the edge case. Worth explaining why: at fs=2fB exactly, a component sitting right at fB aliases onto itself from the other direction (f + f′ = fs with f=f′=fB), so the boundary case still produces ambiguity. Strict inequality is what slides 9–10 will prove is truly required.</w:t>
      </w:r>
    </w:p>
    <w:p>
      <w:pPr>
        <w:pStyle w:val="Heading2"/>
        <w:pBdr>
          <w:bottom w:val="single" w:color="999999" w:sz="6" w:space="4"/>
        </w:pBdr>
        <w:spacing w:after="120" w:before="360"/>
      </w:pPr>
      <w:r>
        <w:rPr>
          <w:b/>
          <w:bCs/>
          <w:color w:val="7A1A1A"/>
        </w:rPr>
        <w:t xml:space="preserve">Slide 8</w:t>
      </w:r>
      <w:r>
        <w:rPr>
          <w:b/>
          <w:bCs/>
        </w:rPr>
        <w:t xml:space="preserve">  —  Visual — Spectrum Replicas &amp; Overlap</w:t>
      </w:r>
    </w:p>
    <w:p>
      <w:pPr>
        <w:pStyle w:val="ListParagraph"/>
        <w:numPr>
          <w:ilvl w:val="0"/>
          <w:numId w:val="2"/>
        </w:numPr>
        <w:spacing w:after="80"/>
      </w:pPr>
      <w:r>
        <w:t xml:space="preserve">Sampling tiles the frequency axis with copies of the baseband: plot two families of aliases, f′=f+kfs (positive replicas, upper axis) and f′=−f+kfs (negative replicas, lower axis) — each integer k slides a copy of [0, fB] along the frequency axis.</w:t>
      </w:r>
    </w:p>
    <w:p>
      <w:pPr>
        <w:pStyle w:val="ListParagraph"/>
        <w:numPr>
          <w:ilvl w:val="0"/>
          <w:numId w:val="2"/>
        </w:numPr>
        <w:spacing w:after="80"/>
      </w:pPr>
      <w:r>
        <w:t xml:space="preserve">Aliasing happens whenever two of these replica bands overlap; as long as the bands stay separated (except touching exactly at multiples of fs), reconstruction remains possible. The slide states the equivalence directly: no overlap ⇔ fs &gt; 2fB.</w:t>
      </w:r>
    </w:p>
    <w:p>
      <w:pPr>
        <w:pBdr>
          <w:left w:val="single" w:color="7A1A1A" w:sz="18" w:space="8"/>
        </w:pBdr>
        <w:spacing w:after="140" w:before="100"/>
        <w:ind w:left="360"/>
      </w:pPr>
      <w:r>
        <w:rPr>
          <w:b/>
          <w:bCs/>
          <w:color w:val="7A1A1A"/>
        </w:rPr>
        <w:t xml:space="preserve">Reading the figure: </w:t>
      </w:r>
      <w:r>
        <w:t xml:space="preserve">The two stacked frequency axes show the baseband [0, fB] repeated at every multiple of fs on top, and its mirror image repeated at every multiple of fs on the bottom. The visual test for aliasing is simply: do adjacent bands (one from each family) touch or overlap? This picture turns the entire lecture's algebra (slides 3–7) into a single geometric criterion, and is worth leaving on screen while working through slide 9's practice problem, since the practice problem is really asking students to find where two replicas first touch.</w:t>
      </w:r>
    </w:p>
    <w:p>
      <w:pPr>
        <w:pStyle w:val="Heading2"/>
        <w:pBdr>
          <w:bottom w:val="single" w:color="999999" w:sz="6" w:space="4"/>
        </w:pBdr>
        <w:spacing w:after="120" w:before="360"/>
      </w:pPr>
      <w:r>
        <w:rPr>
          <w:b/>
          <w:bCs/>
          <w:color w:val="7A1A1A"/>
        </w:rPr>
        <w:t xml:space="preserve">Slide 9</w:t>
      </w:r>
      <w:r>
        <w:rPr>
          <w:b/>
          <w:bCs/>
        </w:rPr>
        <w:t xml:space="preserve">  —  Practice — Just Below Nyquist</w:t>
      </w:r>
    </w:p>
    <w:p>
      <w:pPr>
        <w:pStyle w:val="ListParagraph"/>
        <w:numPr>
          <w:ilvl w:val="0"/>
          <w:numId w:val="2"/>
        </w:numPr>
        <w:spacing w:after="80"/>
      </w:pPr>
      <w:r>
        <w:t xml:space="preserve">Let fs = 2fB − δ, with 0&lt;δ&lt;fB (a sampling rate just under the Nyquist rate). Find two frequencies in [0, fB] that alias to each other at this fs, using the hint f+f′=fs.</w:t>
      </w:r>
    </w:p>
    <w:p>
      <w:pPr>
        <w:pStyle w:val="ListParagraph"/>
        <w:numPr>
          <w:ilvl w:val="0"/>
          <w:numId w:val="2"/>
        </w:numPr>
        <w:spacing w:after="80"/>
      </w:pPr>
      <w:r>
        <w:t xml:space="preserve">This is designed to show aliasing is not a gradual effect that only appears once fs drops far below 2fB — it appears the instant fs dips below 2fB by any amount at all.</w:t>
      </w:r>
    </w:p>
    <w:p>
      <w:pPr>
        <w:pStyle w:val="Heading2"/>
        <w:pBdr>
          <w:bottom w:val="single" w:color="999999" w:sz="6" w:space="4"/>
        </w:pBdr>
        <w:spacing w:after="120" w:before="360"/>
      </w:pPr>
      <w:r>
        <w:rPr>
          <w:b/>
          <w:bCs/>
          <w:color w:val="7A1A1A"/>
        </w:rPr>
        <w:t xml:space="preserve">Slide 10</w:t>
      </w:r>
      <w:r>
        <w:rPr>
          <w:b/>
          <w:bCs/>
        </w:rPr>
        <w:t xml:space="preserve">  —  Solution — fs = 2fB − δ</w:t>
      </w:r>
    </w:p>
    <w:p>
      <w:pPr>
        <w:pStyle w:val="ListParagraph"/>
        <w:numPr>
          <w:ilvl w:val="0"/>
          <w:numId w:val="2"/>
        </w:numPr>
        <w:spacing w:after="80"/>
      </w:pPr>
      <w:r>
        <w:rPr>
          <w:b/>
          <w:bCs/>
        </w:rPr>
        <w:t xml:space="preserve">Applying f+f′=fs: </w:t>
      </w:r>
      <w:r>
        <w:t xml:space="preserve">f+f′ = 2fB−δ.</w:t>
      </w:r>
    </w:p>
    <w:p>
      <w:pPr>
        <w:pStyle w:val="ListParagraph"/>
        <w:numPr>
          <w:ilvl w:val="0"/>
          <w:numId w:val="2"/>
        </w:numPr>
        <w:spacing w:after="80"/>
      </w:pPr>
      <w:r>
        <w:rPr>
          <w:b/>
          <w:bCs/>
        </w:rPr>
        <w:t xml:space="preserve">Symmetric pair: </w:t>
      </w:r>
      <w:r>
        <w:t xml:space="preserve">f=f′=fB−δ/2 — both equal, meaning this is the single frequency at which the two replica bands from slide 8 first touch.</w:t>
      </w:r>
    </w:p>
    <w:p>
      <w:pPr>
        <w:pStyle w:val="ListParagraph"/>
        <w:numPr>
          <w:ilvl w:val="0"/>
          <w:numId w:val="2"/>
        </w:numPr>
        <w:spacing w:after="80"/>
      </w:pPr>
      <w:r>
        <w:rPr>
          <w:b/>
          <w:bCs/>
        </w:rPr>
        <w:t xml:space="preserve">Non-trivial pair: </w:t>
      </w:r>
      <w:r>
        <w:t xml:space="preserve">f=fB−δ and f′=fB — both values lie in [0, fB], and their sum (fB−δ)+fB=2fB−δ=fs exactly, so by definition they are aliases of each other.</w:t>
      </w:r>
    </w:p>
    <w:p>
      <w:pPr>
        <w:pBdr>
          <w:left w:val="single" w:color="7A1A1A" w:sz="18" w:space="8"/>
        </w:pBdr>
        <w:spacing w:after="140" w:before="100"/>
        <w:ind w:left="360"/>
      </w:pPr>
      <w:r>
        <w:rPr>
          <w:b/>
          <w:bCs/>
          <w:color w:val="7A1A1A"/>
        </w:rPr>
        <w:t xml:space="preserve">Why it matters — the sharpness of the Nyquist criterion: </w:t>
      </w:r>
      <w:r>
        <w:t xml:space="preserve">Any decrease of fs below 2fB, however small the δ, already creates ambiguity somewhere in the band. This is what “strict inequality” on slide 7 was protecting against — the Nyquist criterion has no slack. The slide also adds a practical note: real ADC systems place an anti-aliasing low-pass filter before sampling specifically to enforce a known, hard fB, since Nyquist's guarantee is worthless without first guaranteeing the signal actually has no energy above fB.</w:t>
      </w:r>
    </w:p>
    <w:p>
      <w:pPr>
        <w:pStyle w:val="Heading2"/>
        <w:pBdr>
          <w:bottom w:val="single" w:color="999999" w:sz="6" w:space="4"/>
        </w:pBdr>
        <w:spacing w:after="120" w:before="360"/>
      </w:pPr>
      <w:r>
        <w:rPr>
          <w:b/>
          <w:bCs/>
          <w:color w:val="7A1A1A"/>
        </w:rPr>
        <w:t xml:space="preserve">Slide 11</w:t>
      </w:r>
      <w:r>
        <w:rPr>
          <w:b/>
          <w:bCs/>
        </w:rPr>
        <w:t xml:space="preserve">  —  Solved Example A — List Aliases of 150 Hz</w:t>
      </w:r>
    </w:p>
    <w:p>
      <w:pPr>
        <w:pStyle w:val="ListParagraph"/>
        <w:numPr>
          <w:ilvl w:val="0"/>
          <w:numId w:val="2"/>
        </w:numPr>
        <w:spacing w:after="80"/>
      </w:pPr>
      <w:r>
        <w:t xml:space="preserve">List all aliases of f=150 Hz at fs=400 samples/s within [0, 1000] Hz — a smaller-range version of slide 4's first family, now written up step by step.</w:t>
      </w:r>
    </w:p>
    <w:p>
      <w:pPr>
        <w:pStyle w:val="ListParagraph"/>
        <w:numPr>
          <w:ilvl w:val="0"/>
          <w:numId w:val="2"/>
        </w:numPr>
        <w:spacing w:after="80"/>
      </w:pPr>
      <w:r>
        <w:rPr>
          <w:b/>
          <w:bCs/>
        </w:rPr>
        <w:t xml:space="preserve">Two alias families: </w:t>
      </w:r>
      <w:r>
        <w:t xml:space="preserve">f′=150+400k gives 150, 550, 950 Hz; f′=−150+400k (k≥1, to stay non-negative) gives 250, 650 Hz.</w:t>
      </w:r>
    </w:p>
    <w:p>
      <w:pPr>
        <w:pStyle w:val="ListParagraph"/>
        <w:numPr>
          <w:ilvl w:val="0"/>
          <w:numId w:val="2"/>
        </w:numPr>
        <w:spacing w:after="80"/>
      </w:pPr>
      <w:r>
        <w:rPr>
          <w:b/>
          <w:bCs/>
        </w:rPr>
        <w:t xml:space="preserve">All five aliases: </w:t>
      </w:r>
      <w:r>
        <w:t xml:space="preserve">{150, 250, 550, 650, 950} Hz.</w:t>
      </w:r>
    </w:p>
    <w:p>
      <w:pPr>
        <w:pStyle w:val="ListParagraph"/>
        <w:numPr>
          <w:ilvl w:val="0"/>
          <w:numId w:val="2"/>
        </w:numPr>
        <w:spacing w:after="80"/>
      </w:pPr>
      <w:r>
        <w:t xml:space="preserve">Common thread stated on the slide: all five produce the identical DT frequency Ω=2π·150/400=3π/4 rad/sample — a direct, numeric confirmation of slide 3's definition, since by construction every alias of 150 Hz must map to this same Ω.</w:t>
      </w:r>
    </w:p>
    <w:p>
      <w:pPr>
        <w:pStyle w:val="Heading2"/>
        <w:pBdr>
          <w:bottom w:val="single" w:color="999999" w:sz="6" w:space="4"/>
        </w:pBdr>
        <w:spacing w:after="120" w:before="360"/>
      </w:pPr>
      <w:r>
        <w:rPr>
          <w:b/>
          <w:bCs/>
          <w:color w:val="7A1A1A"/>
        </w:rPr>
        <w:t xml:space="preserve">Slide 12</w:t>
      </w:r>
      <w:r>
        <w:rPr>
          <w:b/>
          <w:bCs/>
        </w:rPr>
        <w:t xml:space="preserve">  —  Solved Example B — Aliasing in a Sum of Two Sinusoids</w:t>
      </w:r>
    </w:p>
    <w:p>
      <w:pPr>
        <w:pStyle w:val="ListParagraph"/>
        <w:numPr>
          <w:ilvl w:val="0"/>
          <w:numId w:val="2"/>
        </w:numPr>
        <w:spacing w:after="80"/>
      </w:pPr>
      <w:r>
        <w:t xml:space="preserve">x(t)=cos(2π·50t)+cos(2π·350t), sampled at fs=400 s/s. This is slide 6's ambiguity scenario, now run forward from a concrete x(t) instead of backward from an ambiguous x[n].</w:t>
      </w:r>
    </w:p>
    <w:p>
      <w:pPr>
        <w:pStyle w:val="ListParagraph"/>
        <w:numPr>
          <w:ilvl w:val="0"/>
          <w:numId w:val="2"/>
        </w:numPr>
        <w:spacing w:after="80"/>
      </w:pPr>
      <w:r>
        <w:rPr>
          <w:b/>
          <w:bCs/>
        </w:rPr>
        <w:t xml:space="preserve">Step 1, DT frequencies: </w:t>
      </w:r>
      <w:r>
        <w:t xml:space="preserve">Ω1=2π·50/400=π/4; Ω2=2π·350/400=7π/4.</w:t>
      </w:r>
    </w:p>
    <w:p>
      <w:pPr>
        <w:pStyle w:val="ListParagraph"/>
        <w:numPr>
          <w:ilvl w:val="0"/>
          <w:numId w:val="2"/>
        </w:numPr>
        <w:spacing w:after="80"/>
      </w:pPr>
      <w:r>
        <w:rPr>
          <w:b/>
          <w:bCs/>
        </w:rPr>
        <w:t xml:space="preserve">Step 2, check equivalence: </w:t>
      </w:r>
      <w:r>
        <w:t xml:space="preserve">Ω2=7π/4=2π−π/4≡−π/4 (mod 2π) ≡ −Ω1, so cos(Ω2 n)=cos(−Ω1 n)=cos(Ω1 n) by the even-cosine rule — the two components alias to literally the same DT cosine.</w:t>
      </w:r>
    </w:p>
    <w:p>
      <w:pPr>
        <w:pStyle w:val="ListParagraph"/>
        <w:numPr>
          <w:ilvl w:val="0"/>
          <w:numId w:val="2"/>
        </w:numPr>
        <w:spacing w:after="80"/>
      </w:pPr>
      <w:r>
        <w:rPr>
          <w:b/>
          <w:bCs/>
        </w:rPr>
        <w:t xml:space="preserve">Step 3, consequence: </w:t>
      </w:r>
      <w:r>
        <w:t xml:space="preserve">x[n] = 2cos(π/4 n) — the two original amplitude-1 components have merged into a single amplitude-2 term, and x(t) can no longer be reconstructed from x[n] alone, exactly the failure mode slide 6 warned about, now demonstrated with an explicit x(t).</w:t>
      </w:r>
    </w:p>
    <w:p>
      <w:pPr>
        <w:pBdr>
          <w:left w:val="single" w:color="7A1A1A" w:sz="18" w:space="8"/>
        </w:pBdr>
        <w:spacing w:after="140" w:before="100"/>
        <w:ind w:left="360"/>
      </w:pPr>
      <w:r>
        <w:rPr>
          <w:b/>
          <w:bCs/>
          <w:color w:val="7A1A1A"/>
        </w:rPr>
        <w:t xml:space="preserve">The two-halves symmetry of this lecture's solved examples: </w:t>
      </w:r>
      <w:r>
        <w:t xml:space="preserve">Solved Example A shows the forward direction (one frequency, many aliases); Solved Example B shows the destructive direction (two frequencies, one alias) — worth pairing them explicitly when reviewing, since together they are the complete picture of why aliasing is a problem: not just that aliases exist, but that distinct signals can become identical once sampled.</w:t>
      </w:r>
    </w:p>
    <w:p>
      <w:pPr>
        <w:pStyle w:val="Heading2"/>
        <w:pBdr>
          <w:bottom w:val="single" w:color="999999" w:sz="6" w:space="4"/>
        </w:pBdr>
        <w:spacing w:after="120" w:before="360"/>
      </w:pPr>
      <w:r>
        <w:rPr>
          <w:b/>
          <w:bCs/>
          <w:color w:val="7A1A1A"/>
        </w:rPr>
        <w:t xml:space="preserve">Slide 13</w:t>
      </w:r>
      <w:r>
        <w:rPr>
          <w:b/>
          <w:bCs/>
        </w:rPr>
        <w:t xml:space="preserve">  —  Summary — Four Facts on Aliasing</w:t>
      </w:r>
    </w:p>
    <w:p>
      <w:pPr>
        <w:pStyle w:val="ListParagraph"/>
        <w:numPr>
          <w:ilvl w:val="0"/>
          <w:numId w:val="2"/>
        </w:numPr>
        <w:spacing w:after="80"/>
      </w:pPr>
      <w:r>
        <w:t xml:space="preserve">01 Definition: f ± f′ = k fs — both families must be checked.</w:t>
      </w:r>
    </w:p>
    <w:p>
      <w:pPr>
        <w:pStyle w:val="ListParagraph"/>
        <w:numPr>
          <w:ilvl w:val="0"/>
          <w:numId w:val="2"/>
        </w:numPr>
        <w:spacing w:after="80"/>
      </w:pPr>
      <w:r>
        <w:t xml:space="preserve">02 Consequence: distinct f's produce the same x[n]; x(t) is no longer recoverable from x[n].</w:t>
      </w:r>
    </w:p>
    <w:p>
      <w:pPr>
        <w:pStyle w:val="ListParagraph"/>
        <w:numPr>
          <w:ilvl w:val="0"/>
          <w:numId w:val="2"/>
        </w:numPr>
        <w:spacing w:after="80"/>
      </w:pPr>
      <w:r>
        <w:t xml:space="preserve">03 Nyquist: fs &gt; 2fB — necessary and sufficient for a band [0, fB].</w:t>
      </w:r>
    </w:p>
    <w:p>
      <w:pPr>
        <w:pStyle w:val="ListParagraph"/>
        <w:numPr>
          <w:ilvl w:val="0"/>
          <w:numId w:val="2"/>
        </w:numPr>
        <w:spacing w:after="80"/>
      </w:pPr>
      <w:r>
        <w:t xml:space="preserve">04 Engineering: anti-aliasing filter first — enforce fB before the ADC.</w:t>
      </w:r>
    </w:p>
    <w:p>
      <w:pPr>
        <w:pBdr>
          <w:left w:val="single" w:color="7A1A1A" w:sz="18" w:space="8"/>
        </w:pBdr>
        <w:spacing w:after="140" w:before="100"/>
        <w:ind w:left="360"/>
      </w:pPr>
      <w:r>
        <w:rPr>
          <w:b/>
          <w:bCs/>
          <w:color w:val="7A1A1A"/>
        </w:rPr>
        <w:t xml:space="preserve">Bridge to next lecture: </w:t>
      </w:r>
      <w:r>
        <w:t xml:space="preserve">The footer points to L07 Matrix-Vector Product — a genuine change of topic within the course, moving from complex-number/signals foundations into linear algebra. Worth telling students explicitly that Lectures 1–6 form one self-contained arc (complex numbers → exponentials → phasors → sampling → aliasing) that will resurface later in the course once frequency-domain analysis (Fourier methods) is introduced, rather than pretending the transition to matrices continues the same thread.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2026-09-14T16:39:08.815Z</dcterms:created>
  <dcterms:modified xsi:type="dcterms:W3CDTF">2026-09-14T16:39:08.816Z</dcterms:modified>
</cp:coreProperties>
</file>

<file path=docProps/custom.xml><?xml version="1.0" encoding="utf-8"?>
<Properties xmlns="http://schemas.openxmlformats.org/officeDocument/2006/custom-properties" xmlns:vt="http://schemas.openxmlformats.org/officeDocument/2006/docPropsVTypes"/>
</file>