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i w:val="0"/>
          <w:sz w:val="30"/>
          <w:rFonts w:ascii="Calibri" w:hAnsi="Calibri" w:eastAsia="Arial" w:cs="Arial"/>
        </w:rPr>
        <w:t>STEPHEN UMUNNA</w:t>
      </w:r>
    </w:p>
    <w:p>
      <w:pPr>
        <w:spacing w:before="0" w:after="0" w:line="240" w:lineRule="auto"/>
        <w:jc w:val="center"/>
      </w:pPr>
      <w:r>
        <w:rPr>
          <w:b/>
          <w:i w:val="0"/>
          <w:color w:val="1F4E79"/>
          <w:sz w:val="22"/>
          <w:rFonts w:ascii="Calibri" w:hAnsi="Calibri" w:eastAsia="Arial" w:cs="Arial"/>
        </w:rPr>
        <w:t>Director of Ad Operations | AI-Driven Automation &amp; Programmatic Media</w:t>
      </w:r>
    </w:p>
    <w:p>
      <w:pPr>
        <w:spacing w:before="0" w:after="0" w:line="240" w:lineRule="auto"/>
        <w:jc w:val="center"/>
      </w:pPr>
      <w:r>
        <w:rPr>
          <w:b w:val="0"/>
          <w:i w:val="0"/>
          <w:sz w:val="19"/>
          <w:rFonts w:ascii="Calibri" w:hAnsi="Calibri" w:eastAsia="Arial" w:cs="Arial"/>
        </w:rPr>
        <w:t>scumunna@gmail.com | (323) 917-1875 | Los Angeles, CA</w:t>
      </w:r>
    </w:p>
    <w:p>
      <w:pPr>
        <w:spacing w:before="0" w:after="120" w:line="240" w:lineRule="auto"/>
        <w:jc w:val="center"/>
      </w:pPr>
      <w:r>
        <w:rPr>
          <w:b w:val="0"/>
          <w:i w:val="0"/>
          <w:sz w:val="19"/>
          <w:rFonts w:ascii="Calibri" w:hAnsi="Calibri" w:eastAsia="Arial" w:cs="Arial"/>
        </w:rPr>
        <w:t xml:space="preserve">LinkedIn: </w:t>
      </w:r>
      <w:hyperlink r:id="rId9">
        <w:r>
          <w:rPr>
            <w:rFonts w:ascii="Calibri" w:hAnsi="Calibri" w:eastAsia="Arial" w:cs="Arial"/>
            <w:sz w:val="19"/>
            <w:szCs w:val="19"/>
            <w:color w:val="0563C1"/>
            <w:u w:val="single"/>
          </w:rPr>
          <w:t xml:space="preserve">linkedin.com/in/stephenumunna</w:t>
        </w:r>
      </w:hyperlink>
      <w:r>
        <w:rPr>
          <w:b w:val="0"/>
          <w:i w:val="0"/>
          <w:sz w:val="19"/>
          <w:rFonts w:ascii="Calibri" w:hAnsi="Calibri" w:eastAsia="Arial" w:cs="Arial"/>
        </w:rPr>
        <w:t xml:space="preserve"> | Portfolio: </w:t>
      </w:r>
      <w:hyperlink r:id="rId10">
        <w:r>
          <w:rPr>
            <w:rFonts w:ascii="Calibri" w:hAnsi="Calibri" w:eastAsia="Arial" w:cs="Arial"/>
            <w:sz w:val="19"/>
            <w:szCs w:val="19"/>
            <w:color w:val="0563C1"/>
            <w:u w:val="single"/>
          </w:rPr>
          <w:t xml:space="preserve">stephenumunna.com</w:t>
        </w:r>
      </w:hyperlink>
      <w:r>
        <w:rPr>
          <w:b w:val="0"/>
          <w:i w:val="0"/>
          <w:sz w:val="19"/>
          <w:rFonts w:ascii="Calibri" w:hAnsi="Calibri" w:eastAsia="Arial" w:cs="Arial"/>
        </w:rPr>
        <w:t xml:space="preserve"> | GitHub: </w:t>
      </w:r>
      <w:hyperlink r:id="rId11">
        <w:r>
          <w:rPr>
            <w:rFonts w:ascii="Calibri" w:hAnsi="Calibri" w:eastAsia="Arial" w:cs="Arial"/>
            <w:sz w:val="19"/>
            <w:szCs w:val="19"/>
            <w:color w:val="0563C1"/>
            <w:u w:val="single"/>
          </w:rPr>
          <w:t xml:space="preserve">github.com/scumunna</w:t>
        </w:r>
      </w:hyperlink>
    </w:p>
    <w:p>
      <w:pPr>
        <w:spacing w:before="160" w:after="80" w:line="240" w:lineRule="auto"/>
        <w:pBdr>
          <w:bottom w:val="single" w:sz="6" w:space="1" w:color="B7C9DA"/>
        </w:pBdr>
      </w:pPr>
      <w:r>
        <w:rPr>
          <w:b/>
          <w:i w:val="0"/>
          <w:color w:val="1F4E79"/>
          <w:sz w:val="22"/>
          <w:rFonts w:ascii="Calibri" w:hAnsi="Calibri" w:eastAsia="Arial" w:cs="Arial"/>
        </w:rPr>
        <w:t>EXECUTIVE SUMMARY</w:t>
      </w:r>
    </w:p>
    <w:p>
      <w:pPr>
        <w:spacing w:before="0" w:after="60" w:line="240" w:lineRule="auto"/>
      </w:pPr>
      <w:r>
        <w:rPr>
          <w:b w:val="0"/>
          <w:i w:val="0"/>
          <w:sz w:val="20"/>
          <w:rFonts w:ascii="Calibri" w:hAnsi="Calibri" w:eastAsia="Arial" w:cs="Arial"/>
        </w:rPr>
        <w:t>Ad-operations leader who runs lean, high-margin teams by putting AI and automation to work - and I'm hands-on enough to deploy it myself, not just brief a vendor. 7+ years across DV360, The Trade Desk, Xandr, Yahoo, Zeta, Basis, and Quantcast. Managed up to $900K/month, ranked top 2 of 22 in profitability, and the AI-driven automation I rolled out became the company standard - 60x faster reporting and 60% less account-management time. Then ran an AdTech platform as CTO/COO: a $300K-$500K/month P&amp;L across 200+ accounts at 85% gross margin with a 15-person team, using AI, automation, and a first-party CDP (21M+ profiles, activation across 6 DSPs) to do the work of a much larger org. Direct campaign work with CDC, Hertz, Grammarly, Orangetheory, AAA Auto, and Floor &amp; Decor.</w:t>
      </w:r>
    </w:p>
    <w:p>
      <w:pPr>
        <w:spacing w:before="160" w:after="80" w:line="240" w:lineRule="auto"/>
        <w:pBdr>
          <w:bottom w:val="single" w:sz="6" w:space="1" w:color="B7C9DA"/>
        </w:pBdr>
      </w:pPr>
      <w:r>
        <w:rPr>
          <w:b/>
          <w:i w:val="0"/>
          <w:color w:val="1F4E79"/>
          <w:sz w:val="22"/>
          <w:rFonts w:ascii="Calibri" w:hAnsi="Calibri" w:eastAsia="Arial" w:cs="Arial"/>
        </w:rPr>
        <w:t>CORE COMPETENCIES</w:t>
      </w:r>
    </w:p>
    <w:p>
      <w:pPr>
        <w:spacing w:before="0" w:after="60" w:line="240" w:lineRule="auto"/>
      </w:pPr>
      <w:r>
        <w:rPr>
          <w:b w:val="0"/>
          <w:i w:val="0"/>
          <w:sz w:val="20"/>
          <w:rFonts w:ascii="Calibri" w:hAnsi="Calibri" w:eastAsia="Arial" w:cs="Arial"/>
        </w:rPr>
        <w:t>Ad Operations &amp; Programmatic: Programmatic Advertising, DSP Strategy (DV360, TTD, Xandr), Trafficking, PMP/PG, Audience Activation, First-Party Data, Customer Data Platform (CDP), Retail/Commerce Media</w:t>
      </w:r>
    </w:p>
    <w:p>
      <w:pPr>
        <w:spacing w:before="0" w:after="60" w:line="240" w:lineRule="auto"/>
      </w:pPr>
      <w:r>
        <w:rPr>
          <w:b w:val="0"/>
          <w:i w:val="0"/>
          <w:sz w:val="20"/>
          <w:rFonts w:ascii="Calibri" w:hAnsi="Calibri" w:eastAsia="Arial" w:cs="Arial"/>
        </w:rPr>
        <w:t>AI-Enabled Operations: AI Workflow Automation, Reporting &amp; Dashboard Automation, Pacing &amp; Overspend Controls, AI Agents (Claude, MCP), Prompt Engineering, Process Optimization</w:t>
      </w:r>
    </w:p>
    <w:p>
      <w:pPr>
        <w:spacing w:before="0" w:after="60" w:line="240" w:lineRule="auto"/>
      </w:pPr>
      <w:r>
        <w:rPr>
          <w:b w:val="0"/>
          <w:i w:val="0"/>
          <w:sz w:val="20"/>
          <w:rFonts w:ascii="Calibri" w:hAnsi="Calibri" w:eastAsia="Arial" w:cs="Arial"/>
        </w:rPr>
        <w:t>Account &amp; Client Management: Account Management, Client Services &amp; QBRs, Campaign Management, Pacing, Onboarding, Renewals &amp; Retention</w:t>
      </w:r>
    </w:p>
    <w:p>
      <w:pPr>
        <w:spacing w:before="0" w:after="60" w:line="240" w:lineRule="auto"/>
      </w:pPr>
      <w:r>
        <w:rPr>
          <w:b w:val="0"/>
          <w:i w:val="0"/>
          <w:sz w:val="20"/>
          <w:rFonts w:ascii="Calibri" w:hAnsi="Calibri" w:eastAsia="Arial" w:cs="Arial"/>
        </w:rPr>
        <w:t>Measurement &amp; Leadership: ROAS, CPA, Attribution, Closed-Loop &amp; CTV Measurement, P&amp;L Ownership, Team Leadership, Margin Optimization</w:t>
      </w:r>
    </w:p>
    <w:p>
      <w:pPr>
        <w:spacing w:before="160" w:after="80" w:line="240" w:lineRule="auto"/>
        <w:pBdr>
          <w:bottom w:val="single" w:sz="6" w:space="1" w:color="B7C9DA"/>
        </w:pBdr>
      </w:pPr>
      <w:r>
        <w:rPr>
          <w:b/>
          <w:i w:val="0"/>
          <w:color w:val="1F4E79"/>
          <w:sz w:val="22"/>
          <w:rFonts w:ascii="Calibri" w:hAnsi="Calibri" w:eastAsia="Arial" w:cs="Arial"/>
        </w:rPr>
        <w:t>PROFESSIONAL EXPERIENCE</w:t>
      </w:r>
    </w:p>
    <w:p>
      <w:pPr>
        <w:spacing w:before="0" w:after="60" w:line="240" w:lineRule="auto"/>
      </w:pPr>
      <w:r>
        <w:rPr>
          <w:b/>
          <w:i w:val="0"/>
          <w:sz w:val="20"/>
          <w:rFonts w:ascii="Calibri" w:hAnsi="Calibri" w:eastAsia="Arial" w:cs="Arial"/>
        </w:rPr>
        <w:t>Confidential AdTech Startup | Los Angeles, CA</w:t>
      </w:r>
    </w:p>
    <w:p>
      <w:pPr>
        <w:spacing w:before="0" w:after="60" w:line="240" w:lineRule="auto"/>
      </w:pPr>
      <w:r>
        <w:rPr>
          <w:b w:val="0"/>
          <w:i w:val="0"/>
          <w:sz w:val="20"/>
          <w:rFonts w:ascii="Calibri" w:hAnsi="Calibri" w:eastAsia="Arial" w:cs="Arial"/>
        </w:rPr>
        <w:t>Regulated-industry audience data, retail media, and programmatic advertising platform (15-person startup, $3.6M-6M ARR)</w:t>
      </w:r>
    </w:p>
    <w:p>
      <w:pPr>
        <w:spacing w:before="0" w:after="60" w:line="240" w:lineRule="auto"/>
      </w:pPr>
      <w:r>
        <w:rPr>
          <w:b/>
          <w:i w:val="0"/>
          <w:sz w:val="20"/>
          <w:rFonts w:ascii="Calibri" w:hAnsi="Calibri" w:eastAsia="Arial" w:cs="Arial"/>
        </w:rPr>
        <w:t>Chief Technology Officer &amp; Chief Operating Officer (CTO/COO) | 04/2025 - 03/2026</w:t>
      </w:r>
    </w:p>
    <w:p>
      <w:pPr>
        <w:spacing w:before="0" w:after="60" w:line="240" w:lineRule="auto"/>
      </w:pPr>
      <w:r>
        <w:rPr>
          <w:b w:val="0"/>
          <w:i w:val="0"/>
          <w:sz w:val="20"/>
          <w:rFonts w:ascii="Calibri" w:hAnsi="Calibri" w:eastAsia="Arial" w:cs="Arial"/>
        </w:rPr>
        <w:t>Owned technology, ad operations, and the P&amp;L - and used AI and automation to run a 15-person team like a much larger org.</w:t>
      </w:r>
    </w:p>
    <w:p>
      <w:pPr>
        <w:spacing w:before="0" w:after="60" w:line="240" w:lineRule="auto"/>
        <w:ind w:left="360" w:hanging="259"/>
      </w:pPr>
      <w:r>
        <w:rPr>
          <w:b w:val="0"/>
          <w:i w:val="0"/>
          <w:sz w:val="20"/>
          <w:rFonts w:ascii="Calibri" w:hAnsi="Calibri" w:eastAsia="Arial" w:cs="Arial"/>
        </w:rPr>
        <w:t>•</w:t>
        <w:tab/>
      </w:r>
      <w:r>
        <w:rPr>
          <w:b w:val="0"/>
          <w:i w:val="0"/>
          <w:sz w:val="20"/>
          <w:rFonts w:ascii="Calibri" w:hAnsi="Calibri" w:eastAsia="Arial" w:cs="Arial"/>
        </w:rPr>
        <w:t>Owned a $300K-$500K/month P&amp;L across 200+ active accounts and 50+ retail clients, and held gross margins above 85% - nearly double the ~45% industry norm - by automating the manual work: IO generation, reporting, trafficking, QA, billing, and client comms.</w:t>
      </w:r>
    </w:p>
    <w:p>
      <w:pPr>
        <w:spacing w:before="0" w:after="60" w:line="240" w:lineRule="auto"/>
        <w:ind w:left="360" w:hanging="259"/>
      </w:pPr>
      <w:r>
        <w:rPr>
          <w:b w:val="0"/>
          <w:i w:val="0"/>
          <w:sz w:val="20"/>
          <w:rFonts w:ascii="Calibri" w:hAnsi="Calibri" w:eastAsia="Arial" w:cs="Arial"/>
        </w:rPr>
        <w:t>•</w:t>
        <w:tab/>
      </w:r>
      <w:r>
        <w:rPr>
          <w:b w:val="0"/>
          <w:i w:val="0"/>
          <w:sz w:val="20"/>
          <w:rFonts w:ascii="Calibri" w:hAnsi="Calibri" w:eastAsia="Arial" w:cs="Arial"/>
        </w:rPr>
        <w:t>Cut account-management time 60% with AI-driven automation - interactive dashboards, pacing alerts, overspend auto-pause, and renewal-ready summaries - plus AI prospecting agents; daily Claude, Codex, and Cursor use across the team.</w:t>
      </w:r>
    </w:p>
    <w:p>
      <w:pPr>
        <w:spacing w:before="0" w:after="60" w:line="240" w:lineRule="auto"/>
        <w:ind w:left="360" w:hanging="259"/>
      </w:pPr>
      <w:r>
        <w:rPr>
          <w:b w:val="0"/>
          <w:i w:val="0"/>
          <w:sz w:val="20"/>
          <w:rFonts w:ascii="Calibri" w:hAnsi="Calibri" w:eastAsia="Arial" w:cs="Arial"/>
        </w:rPr>
        <w:t>•</w:t>
        <w:tab/>
      </w:r>
      <w:r>
        <w:rPr>
          <w:b w:val="0"/>
          <w:i w:val="0"/>
          <w:sz w:val="20"/>
          <w:rFonts w:ascii="Calibri" w:hAnsi="Calibri" w:eastAsia="Arial" w:cs="Arial"/>
        </w:rPr>
        <w:t>Held 85% client retention with zero long-term contracts; cleared the 3x ROAS minimum on 80% of campaigns and hit 3x-55x for advertisers, in a regulated vertical where Google and Meta were largely off the table.</w:t>
      </w:r>
    </w:p>
    <w:p>
      <w:pPr>
        <w:spacing w:before="0" w:after="60" w:line="240" w:lineRule="auto"/>
        <w:ind w:left="360" w:hanging="259"/>
      </w:pPr>
      <w:r>
        <w:rPr>
          <w:b w:val="0"/>
          <w:i w:val="0"/>
          <w:sz w:val="20"/>
          <w:rFonts w:ascii="Calibri" w:hAnsi="Calibri" w:eastAsia="Arial" w:cs="Arial"/>
        </w:rPr>
        <w:t>•</w:t>
        <w:tab/>
      </w:r>
      <w:r>
        <w:rPr>
          <w:b w:val="0"/>
          <w:i w:val="0"/>
          <w:sz w:val="20"/>
          <w:rFonts w:ascii="Calibri" w:hAnsi="Calibri" w:eastAsia="Arial" w:cs="Arial"/>
        </w:rPr>
        <w:t>Sat at the center of Product, Engineering, Sales, Ad Ops, and Customer Success: ran weekly syncs and QBRs with top accounts, turned advertiser feedback into the product roadmap, and ran both managed-service and self-service workflows.</w:t>
      </w:r>
    </w:p>
    <w:p>
      <w:pPr>
        <w:spacing w:before="0" w:after="60" w:line="240" w:lineRule="auto"/>
        <w:ind w:left="360" w:hanging="259"/>
      </w:pPr>
      <w:r>
        <w:rPr>
          <w:b w:val="0"/>
          <w:i w:val="0"/>
          <w:sz w:val="20"/>
          <w:rFonts w:ascii="Calibri" w:hAnsi="Calibri" w:eastAsia="Arial" w:cs="Arial"/>
        </w:rPr>
        <w:t>•</w:t>
        <w:tab/>
      </w:r>
      <w:r>
        <w:rPr>
          <w:b w:val="0"/>
          <w:i w:val="0"/>
          <w:sz w:val="20"/>
          <w:rFonts w:ascii="Calibri" w:hAnsi="Calibri" w:eastAsia="Arial" w:cs="Arial"/>
        </w:rPr>
        <w:t>Stood up a first-party customer data platform (CDP): 21M+ consumer profiles, 1B+ behavioral data points, and 6 DSP integrations - including activation by a major DSP partner for pharmaceutical campaigns - with a custom pixel and 3 POS integrations for closed-loop attribution.</w:t>
      </w:r>
    </w:p>
    <w:p>
      <w:pPr>
        <w:spacing w:before="0" w:after="60" w:line="240" w:lineRule="auto"/>
        <w:ind w:left="360" w:hanging="259"/>
      </w:pPr>
      <w:r>
        <w:rPr>
          <w:b w:val="0"/>
          <w:i w:val="0"/>
          <w:sz w:val="20"/>
          <w:rFonts w:ascii="Calibri" w:hAnsi="Calibri" w:eastAsia="Arial" w:cs="Arial"/>
        </w:rPr>
        <w:t>•</w:t>
        <w:tab/>
      </w:r>
      <w:r>
        <w:rPr>
          <w:b w:val="0"/>
          <w:i w:val="0"/>
          <w:sz w:val="20"/>
          <w:rFonts w:ascii="Calibri" w:hAnsi="Calibri" w:eastAsia="Arial" w:cs="Arial"/>
        </w:rPr>
        <w:t>Turned the CDP into activation: built audiences from first-party purchase behavior, layered US-Census demographics, and pushed one segment definition to all 6 DSPs - the post-cookie capability advertisers are short on.</w:t>
      </w:r>
    </w:p>
    <w:p>
      <w:pPr>
        <w:spacing w:before="0" w:after="60" w:line="240" w:lineRule="auto"/>
        <w:ind w:left="360" w:hanging="259"/>
      </w:pPr>
      <w:r>
        <w:rPr>
          <w:b w:val="0"/>
          <w:i w:val="0"/>
          <w:sz w:val="20"/>
          <w:rFonts w:ascii="Calibri" w:hAnsi="Calibri" w:eastAsia="Arial" w:cs="Arial"/>
        </w:rPr>
        <w:t>•</w:t>
        <w:tab/>
      </w:r>
      <w:r>
        <w:rPr>
          <w:b w:val="0"/>
          <w:i w:val="0"/>
          <w:sz w:val="20"/>
          <w:rFonts w:ascii="Calibri" w:hAnsi="Calibri" w:eastAsia="Arial" w:cs="Arial"/>
        </w:rPr>
        <w:t>Launched a shoppable ad product adopted by 50 clients - four IAB sizes auto-generated from product catalogs and re-ranked in real time on browsing behavior, at 1.6% CTR against a 0.5% benchmark; setup dropped from 4 hours to 30 minutes.</w:t>
      </w:r>
    </w:p>
    <w:p>
      <w:pPr>
        <w:spacing w:before="0" w:after="60" w:line="240" w:lineRule="auto"/>
        <w:ind w:left="360" w:hanging="259"/>
      </w:pPr>
      <w:r>
        <w:rPr>
          <w:b w:val="0"/>
          <w:i w:val="0"/>
          <w:sz w:val="20"/>
          <w:rFonts w:ascii="Calibri" w:hAnsi="Calibri" w:eastAsia="Arial" w:cs="Arial"/>
        </w:rPr>
        <w:t>•</w:t>
        <w:tab/>
      </w:r>
      <w:r>
        <w:rPr>
          <w:b w:val="0"/>
          <w:i w:val="0"/>
          <w:sz w:val="20"/>
          <w:rFonts w:ascii="Calibri" w:hAnsi="Calibri" w:eastAsia="Arial" w:cs="Arial"/>
        </w:rPr>
        <w:t>Stood up five automated revenue streams - transaction fees, programmatic ad spend, premium listings, subscriptions, and sponsored placements - with daily invoicing and collections that ran without a finance hire.</w:t>
      </w:r>
    </w:p>
    <w:p>
      <w:pPr>
        <w:spacing w:before="0" w:after="60" w:line="240" w:lineRule="auto"/>
      </w:pPr>
      <w:r>
        <w:rPr>
          <w:b/>
          <w:i w:val="0"/>
          <w:sz w:val="20"/>
          <w:rFonts w:ascii="Calibri" w:hAnsi="Calibri" w:eastAsia="Arial" w:cs="Arial"/>
        </w:rPr>
        <w:t>Causal IQ | Los Angeles, CA</w:t>
      </w:r>
    </w:p>
    <w:p>
      <w:pPr>
        <w:spacing w:before="0" w:after="60" w:line="240" w:lineRule="auto"/>
      </w:pPr>
      <w:r>
        <w:rPr>
          <w:b w:val="0"/>
          <w:i w:val="0"/>
          <w:sz w:val="20"/>
          <w:rFonts w:ascii="Calibri" w:hAnsi="Calibri" w:eastAsia="Arial" w:cs="Arial"/>
        </w:rPr>
        <w:t>Programmatic advertising platform serving agencies and performance advertisers (mid-size AdTech firm)</w:t>
      </w:r>
    </w:p>
    <w:p>
      <w:pPr>
        <w:spacing w:before="0" w:after="60" w:line="240" w:lineRule="auto"/>
      </w:pPr>
      <w:r>
        <w:rPr>
          <w:b w:val="0"/>
          <w:i w:val="0"/>
          <w:sz w:val="20"/>
          <w:rFonts w:ascii="Calibri" w:hAnsi="Calibri" w:eastAsia="Arial" w:cs="Arial"/>
        </w:rPr>
        <w:t>Notable clients: CDC, Hertz, Grammarly, Orangetheory, Primo Water, AAA Auto, PMI Colombia (Philip Morris International), Thomas J. Henry, Party City, Floor &amp; Decor, and national political campaign teams.</w:t>
      </w:r>
    </w:p>
    <w:p>
      <w:pPr>
        <w:spacing w:before="0" w:after="60" w:line="240" w:lineRule="auto"/>
      </w:pPr>
      <w:r>
        <w:rPr>
          <w:b/>
          <w:i w:val="0"/>
          <w:sz w:val="20"/>
          <w:rFonts w:ascii="Calibri" w:hAnsi="Calibri" w:eastAsia="Arial" w:cs="Arial"/>
        </w:rPr>
        <w:t>Senior Account Operations Manager | 11/2022 - 03/2025</w:t>
      </w:r>
    </w:p>
    <w:p>
      <w:pPr>
        <w:spacing w:before="0" w:after="60" w:line="240" w:lineRule="auto"/>
        <w:ind w:left="360" w:hanging="259"/>
      </w:pPr>
      <w:r>
        <w:rPr>
          <w:b w:val="0"/>
          <w:i w:val="0"/>
          <w:sz w:val="20"/>
          <w:rFonts w:ascii="Calibri" w:hAnsi="Calibri" w:eastAsia="Arial" w:cs="Arial"/>
        </w:rPr>
        <w:t>•</w:t>
        <w:tab/>
      </w:r>
      <w:r>
        <w:rPr>
          <w:b w:val="0"/>
          <w:i w:val="0"/>
          <w:sz w:val="20"/>
          <w:rFonts w:ascii="Calibri" w:hAnsi="Calibri" w:eastAsia="Arial" w:cs="Arial"/>
        </w:rPr>
        <w:t>Managed up to $900K/month across DV360, The Trade Desk, Yahoo, Xandr, and YouTube. Held 75-83% account-level margins. Ranked top 2 in profitability out of 22 managers.</w:t>
      </w:r>
    </w:p>
    <w:p>
      <w:pPr>
        <w:spacing w:before="0" w:after="60" w:line="240" w:lineRule="auto"/>
        <w:ind w:left="360" w:hanging="259"/>
      </w:pPr>
      <w:r>
        <w:rPr>
          <w:b w:val="0"/>
          <w:i w:val="0"/>
          <w:sz w:val="20"/>
          <w:rFonts w:ascii="Calibri" w:hAnsi="Calibri" w:eastAsia="Arial" w:cs="Arial"/>
        </w:rPr>
        <w:t>•</w:t>
        <w:tab/>
      </w:r>
      <w:r>
        <w:rPr>
          <w:b w:val="0"/>
          <w:i w:val="0"/>
          <w:sz w:val="20"/>
          <w:rFonts w:ascii="Calibri" w:hAnsi="Calibri" w:eastAsia="Arial" w:cs="Arial"/>
        </w:rPr>
        <w:t>Rolled out a 4-tool automation suite - bid optimization, audience insights, site-list management, and reporting - that became the company standard. 60x faster reporting, optimization cut from 4 hours to 5 minutes, zero brand-safety incidents across 8-10 DSPs, and roughly 2,000 analyst hours/month freed across the team.</w:t>
      </w:r>
    </w:p>
    <w:p>
      <w:pPr>
        <w:spacing w:before="0" w:after="60" w:line="240" w:lineRule="auto"/>
        <w:ind w:left="360" w:hanging="259"/>
      </w:pPr>
      <w:r>
        <w:rPr>
          <w:b w:val="0"/>
          <w:i w:val="0"/>
          <w:sz w:val="20"/>
          <w:rFonts w:ascii="Calibri" w:hAnsi="Calibri" w:eastAsia="Arial" w:cs="Arial"/>
        </w:rPr>
        <w:t>•</w:t>
        <w:tab/>
      </w:r>
      <w:r>
        <w:rPr>
          <w:b w:val="0"/>
          <w:i w:val="0"/>
          <w:sz w:val="20"/>
          <w:rFonts w:ascii="Calibri" w:hAnsi="Calibri" w:eastAsia="Arial" w:cs="Arial"/>
        </w:rPr>
        <w:t>Grew Floor &amp; Decor from roughly $10K to $250K/month by layering native onto display, and expanded Thomas J. Henry's budget by stacking CTV under display.</w:t>
      </w:r>
    </w:p>
    <w:p>
      <w:pPr>
        <w:spacing w:before="0" w:after="60" w:line="240" w:lineRule="auto"/>
        <w:ind w:left="360" w:hanging="259"/>
      </w:pPr>
      <w:r>
        <w:rPr>
          <w:b w:val="0"/>
          <w:i w:val="0"/>
          <w:sz w:val="20"/>
          <w:rFonts w:ascii="Calibri" w:hAnsi="Calibri" w:eastAsia="Arial" w:cs="Arial"/>
        </w:rPr>
        <w:t>•</w:t>
        <w:tab/>
      </w:r>
      <w:r>
        <w:rPr>
          <w:b w:val="0"/>
          <w:i w:val="0"/>
          <w:sz w:val="20"/>
          <w:rFonts w:ascii="Calibri" w:hAnsi="Calibri" w:eastAsia="Arial" w:cs="Arial"/>
        </w:rPr>
        <w:t>Built a custom CTV measurement framework comparing time-to-conversion across Display-only, CTV-only, and CTV+Display. The layered structure cut time-to-signup 5-7 days for Thomas J. Henry - the data that unlocked their CTV budget. Handed off at departure.</w:t>
      </w:r>
    </w:p>
    <w:p>
      <w:pPr>
        <w:spacing w:before="0" w:after="60" w:line="240" w:lineRule="auto"/>
      </w:pPr>
      <w:r>
        <w:rPr>
          <w:b/>
          <w:i w:val="0"/>
          <w:sz w:val="20"/>
          <w:rFonts w:ascii="Calibri" w:hAnsi="Calibri" w:eastAsia="Arial" w:cs="Arial"/>
        </w:rPr>
        <w:t>Account Operations Manager | 06/2019 - 11/2022</w:t>
      </w:r>
    </w:p>
    <w:p>
      <w:pPr>
        <w:spacing w:before="0" w:after="60" w:line="240" w:lineRule="auto"/>
        <w:ind w:left="360" w:hanging="259"/>
      </w:pPr>
      <w:r>
        <w:rPr>
          <w:b w:val="0"/>
          <w:i w:val="0"/>
          <w:sz w:val="20"/>
          <w:rFonts w:ascii="Calibri" w:hAnsi="Calibri" w:eastAsia="Arial" w:cs="Arial"/>
        </w:rPr>
        <w:t>•</w:t>
        <w:tab/>
      </w:r>
      <w:r>
        <w:rPr>
          <w:b w:val="0"/>
          <w:i w:val="0"/>
          <w:sz w:val="20"/>
          <w:rFonts w:ascii="Calibri" w:hAnsi="Calibri" w:eastAsia="Arial" w:cs="Arial"/>
        </w:rPr>
        <w:t>Ranked #2 in profitability out of 14 managers for 2 consecutive years while managing 100+ concurrent line items across multiple DSPs; built automation teammates reused for pacing, QA, and client-ready exports.</w:t>
      </w:r>
    </w:p>
    <w:p>
      <w:pPr>
        <w:spacing w:before="0" w:after="60" w:line="240" w:lineRule="auto"/>
      </w:pPr>
      <w:r>
        <w:rPr>
          <w:b/>
          <w:i w:val="0"/>
          <w:sz w:val="20"/>
          <w:rFonts w:ascii="Calibri" w:hAnsi="Calibri" w:eastAsia="Arial" w:cs="Arial"/>
        </w:rPr>
        <w:t>RE/MAX of Naperville and RE/MAX Enterprises | Naperville, IL</w:t>
      </w:r>
    </w:p>
    <w:p>
      <w:pPr>
        <w:spacing w:before="0" w:after="60" w:line="240" w:lineRule="auto"/>
      </w:pPr>
      <w:r>
        <w:rPr>
          <w:b w:val="0"/>
          <w:i w:val="0"/>
          <w:sz w:val="20"/>
          <w:rFonts w:ascii="Calibri" w:hAnsi="Calibri" w:eastAsia="Arial" w:cs="Arial"/>
        </w:rPr>
        <w:t>Top-producing RE/MAX real estate franchise with 120+ agents</w:t>
      </w:r>
    </w:p>
    <w:p>
      <w:pPr>
        <w:spacing w:before="0" w:after="60" w:line="240" w:lineRule="auto"/>
      </w:pPr>
      <w:r>
        <w:rPr>
          <w:b/>
          <w:i w:val="0"/>
          <w:sz w:val="20"/>
          <w:rFonts w:ascii="Calibri" w:hAnsi="Calibri" w:eastAsia="Arial" w:cs="Arial"/>
        </w:rPr>
        <w:t>Director of Research and Technology | 09/2014 - 06/2019</w:t>
      </w:r>
    </w:p>
    <w:p>
      <w:pPr>
        <w:spacing w:before="0" w:after="60" w:line="240" w:lineRule="auto"/>
        <w:ind w:left="360" w:hanging="259"/>
      </w:pPr>
      <w:r>
        <w:rPr>
          <w:b w:val="0"/>
          <w:i w:val="0"/>
          <w:sz w:val="20"/>
          <w:rFonts w:ascii="Calibri" w:hAnsi="Calibri" w:eastAsia="Arial" w:cs="Arial"/>
        </w:rPr>
        <w:t>•</w:t>
        <w:tab/>
      </w:r>
      <w:r>
        <w:rPr>
          <w:b w:val="0"/>
          <w:i w:val="0"/>
          <w:sz w:val="20"/>
          <w:rFonts w:ascii="Calibri" w:hAnsi="Calibri" w:eastAsia="Arial" w:cs="Arial"/>
        </w:rPr>
        <w:t>Built marketing automation and competitive analysis tools for 120 agents, contributing to a 10% increase in agent recruitment over 12 months.</w:t>
      </w:r>
    </w:p>
    <w:p>
      <w:pPr>
        <w:spacing w:before="0" w:after="60" w:line="240" w:lineRule="auto"/>
      </w:pPr>
      <w:r>
        <w:rPr>
          <w:b/>
          <w:i w:val="0"/>
          <w:sz w:val="20"/>
          <w:rFonts w:ascii="Calibri" w:hAnsi="Calibri" w:eastAsia="Arial" w:cs="Arial"/>
        </w:rPr>
        <w:t>DoveMed Ltd. | Champaign, IL</w:t>
      </w:r>
    </w:p>
    <w:p>
      <w:pPr>
        <w:spacing w:before="0" w:after="60" w:line="240" w:lineRule="auto"/>
      </w:pPr>
      <w:r>
        <w:rPr>
          <w:b w:val="0"/>
          <w:i w:val="0"/>
          <w:sz w:val="20"/>
          <w:rFonts w:ascii="Calibri" w:hAnsi="Calibri" w:eastAsia="Arial" w:cs="Arial"/>
        </w:rPr>
        <w:t>Medical content platform serving healthcare professionals and consumers (10-person team Stephen led)</w:t>
      </w:r>
    </w:p>
    <w:p>
      <w:pPr>
        <w:spacing w:before="0" w:after="60" w:line="240" w:lineRule="auto"/>
      </w:pPr>
      <w:r>
        <w:rPr>
          <w:b/>
          <w:i w:val="0"/>
          <w:sz w:val="20"/>
          <w:rFonts w:ascii="Calibri" w:hAnsi="Calibri" w:eastAsia="Arial" w:cs="Arial"/>
        </w:rPr>
        <w:t>Director of Operations (North America) | 03/2015 - 11/2018 (part-time, concurrent with RE/MAX)</w:t>
      </w:r>
    </w:p>
    <w:p>
      <w:pPr>
        <w:spacing w:before="0" w:after="60" w:line="240" w:lineRule="auto"/>
        <w:ind w:left="360" w:hanging="259"/>
      </w:pPr>
      <w:r>
        <w:rPr>
          <w:b w:val="0"/>
          <w:i w:val="0"/>
          <w:sz w:val="20"/>
          <w:rFonts w:ascii="Calibri" w:hAnsi="Calibri" w:eastAsia="Arial" w:cs="Arial"/>
        </w:rPr>
        <w:t>•</w:t>
        <w:tab/>
      </w:r>
      <w:r>
        <w:rPr>
          <w:b w:val="0"/>
          <w:i w:val="0"/>
          <w:sz w:val="20"/>
          <w:rFonts w:ascii="Calibri" w:hAnsi="Calibri" w:eastAsia="Arial" w:cs="Arial"/>
        </w:rPr>
        <w:t>Led a 10-person engineering and content team across the US and Poland; grew a global health information platform from 2,000 to 500,000 monthly active users in 14 months with near-zero paid marketing.</w:t>
      </w:r>
    </w:p>
    <w:p>
      <w:pPr>
        <w:spacing w:before="160" w:after="80" w:line="240" w:lineRule="auto"/>
        <w:pBdr>
          <w:bottom w:val="single" w:sz="6" w:space="1" w:color="B7C9DA"/>
        </w:pBdr>
      </w:pPr>
      <w:r>
        <w:rPr>
          <w:b/>
          <w:i w:val="0"/>
          <w:color w:val="1F4E79"/>
          <w:sz w:val="22"/>
          <w:rFonts w:ascii="Calibri" w:hAnsi="Calibri" w:eastAsia="Arial" w:cs="Arial"/>
        </w:rPr>
        <w:t>TECHNICAL SKILLS</w:t>
      </w:r>
    </w:p>
    <w:p>
      <w:pPr>
        <w:spacing w:before="0" w:after="60" w:line="240" w:lineRule="auto"/>
      </w:pPr>
      <w:r>
        <w:rPr>
          <w:b w:val="0"/>
          <w:i w:val="0"/>
          <w:sz w:val="20"/>
          <w:rFonts w:ascii="Calibri" w:hAnsi="Calibri" w:eastAsia="Arial" w:cs="Arial"/>
        </w:rPr>
        <w:t>AdTech Platforms: DV360, The Trade Desk, Xandr, Yahoo, Zeta, Basis, Quantcast, YouTube Ads (DV360), Google Campaign Manager, Sizmek.</w:t>
      </w:r>
    </w:p>
    <w:p>
      <w:pPr>
        <w:spacing w:before="0" w:after="60" w:line="240" w:lineRule="auto"/>
      </w:pPr>
      <w:r>
        <w:rPr>
          <w:b w:val="0"/>
          <w:i w:val="0"/>
          <w:sz w:val="20"/>
          <w:rFonts w:ascii="Calibri" w:hAnsi="Calibri" w:eastAsia="Arial" w:cs="Arial"/>
        </w:rPr>
        <w:t>AI &amp; Automation: Claude, Codex, Cursor, Copilot, Model Context Protocol (MCP), prompt engineering; workflow and reporting automation; Python, SQL, Pandas.</w:t>
      </w:r>
    </w:p>
    <w:p>
      <w:pPr>
        <w:spacing w:before="0" w:after="60" w:line="240" w:lineRule="auto"/>
      </w:pPr>
      <w:r>
        <w:rPr>
          <w:b w:val="0"/>
          <w:i w:val="0"/>
          <w:sz w:val="20"/>
          <w:rFonts w:ascii="Calibri" w:hAnsi="Calibri" w:eastAsia="Arial" w:cs="Arial"/>
        </w:rPr>
        <w:t>Analytics: Tableau, Google Analytics 4, Google Tag Manager, Looker Studio, Ahrefs.</w:t>
      </w:r>
    </w:p>
    <w:p>
      <w:pPr>
        <w:spacing w:before="0" w:after="60" w:line="240" w:lineRule="auto"/>
      </w:pPr>
      <w:r>
        <w:rPr>
          <w:b w:val="0"/>
          <w:i w:val="0"/>
          <w:sz w:val="20"/>
          <w:rFonts w:ascii="Calibri" w:hAnsi="Calibri" w:eastAsia="Arial" w:cs="Arial"/>
        </w:rPr>
        <w:t>Data &amp; Platforms: PostgreSQL, Redis, AWS, DSP APIs, custom pixel tracking, POS integrations.</w:t>
      </w:r>
    </w:p>
    <w:p>
      <w:pPr>
        <w:spacing w:before="160" w:after="80" w:line="240" w:lineRule="auto"/>
        <w:pBdr>
          <w:bottom w:val="single" w:sz="6" w:space="1" w:color="B7C9DA"/>
        </w:pBdr>
      </w:pPr>
      <w:r>
        <w:rPr>
          <w:b/>
          <w:i w:val="0"/>
          <w:color w:val="1F4E79"/>
          <w:sz w:val="22"/>
          <w:rFonts w:ascii="Calibri" w:hAnsi="Calibri" w:eastAsia="Arial" w:cs="Arial"/>
        </w:rPr>
        <w:t>EDUCATION</w:t>
      </w:r>
    </w:p>
    <w:p>
      <w:pPr>
        <w:spacing w:before="0" w:after="60" w:line="240" w:lineRule="auto"/>
      </w:pPr>
      <w:r>
        <w:rPr>
          <w:b w:val="0"/>
          <w:i w:val="0"/>
          <w:sz w:val="19"/>
          <w:rFonts w:ascii="Calibri" w:hAnsi="Calibri" w:eastAsia="Arial" w:cs="Arial"/>
        </w:rPr>
        <w:t>Bachelor of Science, Molecular and Cellular Biology | University of Illinois at Urbana-Champaign | Graduated May 2012</w:t>
      </w:r>
    </w:p>
    <w:p>
      <w:pPr>
        <w:spacing w:before="160" w:after="80" w:line="240" w:lineRule="auto"/>
        <w:pBdr>
          <w:bottom w:val="single" w:sz="6" w:space="1" w:color="B7C9DA"/>
        </w:pBdr>
      </w:pPr>
      <w:r>
        <w:rPr>
          <w:b/>
          <w:i w:val="0"/>
          <w:color w:val="1F4E79"/>
          <w:sz w:val="22"/>
          <w:rFonts w:ascii="Calibri" w:hAnsi="Calibri" w:eastAsia="Arial" w:cs="Arial"/>
        </w:rPr>
        <w:t>PORTFOLIO</w:t>
      </w:r>
    </w:p>
    <w:p>
      <w:pPr>
        <w:spacing w:before="0" w:after="60" w:line="240" w:lineRule="auto"/>
      </w:pPr>
      <w:r>
        <w:rPr>
          <w:b/>
          <w:i w:val="0"/>
          <w:sz w:val="20"/>
          <w:rFonts w:ascii="Calibri" w:hAnsi="Calibri" w:eastAsia="Arial" w:cs="Arial"/>
        </w:rPr>
        <w:t xml:space="preserve">Stanford BIOE 230 Interactive Platform | </w:t>
      </w:r>
      <w:hyperlink r:id="rId12">
        <w:r>
          <w:rPr>
            <w:rFonts w:ascii="Calibri" w:hAnsi="Calibri" w:eastAsia="Arial" w:cs="Arial"/>
            <w:sz w:val="20"/>
            <w:szCs w:val="20"/>
            <w:color w:val="0563C1"/>
            <w:u w:val="single"/>
            <w:b/>
          </w:rPr>
          <w:t xml:space="preserve">bioe230-interactive.vercel.app</w:t>
        </w:r>
      </w:hyperlink>
    </w:p>
    <w:p>
      <w:pPr>
        <w:spacing w:before="0" w:after="60" w:line="240" w:lineRule="auto"/>
      </w:pPr>
      <w:r>
        <w:rPr>
          <w:b w:val="0"/>
          <w:i w:val="0"/>
          <w:sz w:val="20"/>
          <w:rFonts w:ascii="Calibri" w:hAnsi="Calibri" w:eastAsia="Arial" w:cs="Arial"/>
        </w:rPr>
        <w:t>Built a 180-module learning platform adopted by Stanford Bioengineering: interactive visualizations, an AI tutor, and 960 practice problems.</w:t>
      </w:r>
    </w:p>
    <w:p>
      <w:pPr>
        <w:spacing w:before="0" w:after="60" w:line="240" w:lineRule="auto"/>
      </w:pPr>
      <w:r>
        <w:rPr>
          <w:b/>
          <w:i w:val="0"/>
          <w:sz w:val="20"/>
          <w:rFonts w:ascii="Calibri" w:hAnsi="Calibri" w:eastAsia="Arial" w:cs="Arial"/>
        </w:rPr>
        <w:t xml:space="preserve">CartoChrome Healthcare Access Score | </w:t>
      </w:r>
      <w:hyperlink r:id="rId13">
        <w:r>
          <w:rPr>
            <w:rFonts w:ascii="Calibri" w:hAnsi="Calibri" w:eastAsia="Arial" w:cs="Arial"/>
            <w:sz w:val="20"/>
            <w:szCs w:val="20"/>
            <w:color w:val="0563C1"/>
            <w:u w:val="single"/>
            <w:b/>
          </w:rPr>
          <w:t xml:space="preserve">cartochrome.com</w:t>
        </w:r>
      </w:hyperlink>
    </w:p>
    <w:p>
      <w:pPr>
        <w:spacing w:before="0" w:after="60" w:line="240" w:lineRule="auto"/>
      </w:pPr>
      <w:r>
        <w:rPr>
          <w:b w:val="0"/>
          <w:i w:val="0"/>
          <w:sz w:val="20"/>
          <w:rFonts w:ascii="Calibri" w:hAnsi="Calibri" w:eastAsia="Arial" w:cs="Arial"/>
        </w:rPr>
        <w:t>Integrated 21 public data sources into a healthcare access score for every US ZIP code - 4M+ provider records and automated data pipelines.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sz w:val="20"/>
      <w:rFonts w:ascii="Calibri" w:hAnsi="Calibri" w:eastAsia="Arial" w:cs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stephenumunna" TargetMode="External"/><Relationship Id="rId10" Type="http://schemas.openxmlformats.org/officeDocument/2006/relationships/hyperlink" Target="https://stephenumunna.com" TargetMode="External"/><Relationship Id="rId11" Type="http://schemas.openxmlformats.org/officeDocument/2006/relationships/hyperlink" Target="https://github.com/scumunna" TargetMode="External"/><Relationship Id="rId12" Type="http://schemas.openxmlformats.org/officeDocument/2006/relationships/hyperlink" Target="https://bioe230-interactive.vercel.app" TargetMode="External"/><Relationship Id="rId13" Type="http://schemas.openxmlformats.org/officeDocument/2006/relationships/hyperlink" Target="https://cartochrom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Stephen Umunna - Director_AdOps_General Resume</dc:title>
  <dc:subject>Resume</dc:subject>
  <dc:creator>Stephen Umunna</dc:creator>
  <cp:keywords/>
  <dc:description/>
  <cp:lastModifiedBy>Stephen Umunna</cp:lastModifiedBy>
  <cp:revision>1</cp:revision>
  <dcterms:created xsi:type="dcterms:W3CDTF">2026-06-04T16:38:41Z</dcterms:created>
  <dcterms:modified xsi:type="dcterms:W3CDTF">2026-06-04T16:38:41Z</dcterms:modified>
  <cp:category>Resume</cp:category>
</cp:coreProperties>
</file>