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STEPHEN UMUNNA</w:t>
      </w:r>
    </w:p>
    <w:p>
      <w:pPr>
        <w:spacing w:after="40"/>
        <w:jc w:val="center"/>
      </w:pPr>
      <w:r>
        <w:rPr>
          <w:rFonts w:ascii="Arial" w:cs="Arial" w:eastAsia="Arial" w:hAnsi="Arial"/>
          <w:b/>
          <w:bCs/>
          <w:sz w:val="22"/>
          <w:szCs w:val="22"/>
        </w:rPr>
        <w:t xml:space="preserve">Programmatic &amp; Ad Operations Leader | Operations-First, Technically Fluent</w:t>
      </w:r>
    </w:p>
    <w:p>
      <w:pPr>
        <w:spacing w:after="80"/>
        <w:jc w:val="center"/>
      </w:pPr>
      <w:r>
        <w:rPr>
          <w:rFonts w:ascii="Arial" w:cs="Arial" w:eastAsia="Arial" w:hAnsi="Arial"/>
          <w:color w:val="444444"/>
          <w:sz w:val="18"/>
          <w:szCs w:val="18"/>
        </w:rPr>
        <w:t xml:space="preserve">Programmatic Operations | DSP Trading | Campaign Activation | The Trade Desk (TTD), DV360, Xandr, Yahoo | QA, Pacing, Optimization, Reporting Automation</w:t>
      </w:r>
    </w:p>
    <w:p>
      <w:pPr>
        <w:spacing w:after="120"/>
        <w:jc w:val="center"/>
      </w:pPr>
      <w:r>
        <w:rPr>
          <w:rFonts w:ascii="Arial" w:cs="Arial" w:eastAsia="Arial" w:hAnsi="Arial"/>
          <w:sz w:val="18"/>
          <w:szCs w:val="18"/>
        </w:rPr>
        <w:t xml:space="preserve">Los Angeles, CA | scumunna@gmail.com | (323) 917-1875 | linkedin.com/in/stephenumunna | stephenumunna.com</w:t>
      </w:r>
    </w:p>
    <w:p>
      <w:pPr>
        <w:pBdr>
          <w:bottom w:val="single" w:color="444444" w:sz="6" w:space="2"/>
        </w:pBdr>
        <w:spacing w:after="80" w:before="160"/>
      </w:pPr>
      <w:r>
        <w:rPr>
          <w:rFonts w:ascii="Arial" w:cs="Arial" w:eastAsia="Arial" w:hAnsi="Arial"/>
          <w:b/>
          <w:bCs/>
          <w:sz w:val="22"/>
          <w:szCs w:val="22"/>
        </w:rPr>
        <w:t xml:space="preserve">PROFESSIONAL SUMMARY</w:t>
      </w:r>
    </w:p>
    <w:p>
      <w:pPr>
        <w:spacing w:after="60"/>
      </w:pPr>
      <w:r>
        <w:rPr>
          <w:rFonts w:ascii="Arial" w:cs="Arial" w:eastAsia="Arial" w:hAnsi="Arial"/>
          <w:sz w:val="20"/>
          <w:szCs w:val="20"/>
        </w:rPr>
        <w:t xml:space="preserve">Operations-first programmatic leader with nearly seven years running campaign operations, DSP trading, and the teams behind them. As CTO and Acting COO at Confidential AdTech Startup, a programmatic retail-media company, I led multiple functions including Account Operations, ran the campaigns, rebuilt the entire ad-ops and reporting platform from scratch (replacing TapClicks), and set pricing and go-to-market with executive leadership under government and platform restrictions. Earlier, across nearly six years at Causal IQ, I ran a book that peaked at $1.2M/month across DV360, The Trade Desk, Xandr, Yahoo, and YouTube and consistently ranked #1 or #2 of 22 managers on margin. I automate the workflows, own the measurement, and turn recurring problems into the QA standards, playbooks, and reporting that teams adopt as their default.</w:t>
      </w:r>
    </w:p>
    <w:p>
      <w:pPr>
        <w:pBdr>
          <w:bottom w:val="single" w:color="444444" w:sz="6" w:space="2"/>
        </w:pBdr>
        <w:spacing w:after="80" w:before="160"/>
      </w:pPr>
      <w:r>
        <w:rPr>
          <w:rFonts w:ascii="Arial" w:cs="Arial" w:eastAsia="Arial" w:hAnsi="Arial"/>
          <w:b/>
          <w:bCs/>
          <w:sz w:val="22"/>
          <w:szCs w:val="22"/>
        </w:rPr>
        <w:t xml:space="preserve">CORE COMPETENCIES &amp; TECHNICAL SKILLS</w:t>
      </w:r>
    </w:p>
    <w:p>
      <w:pPr>
        <w:spacing w:after="40"/>
      </w:pPr>
      <w:r>
        <w:rPr>
          <w:rFonts w:ascii="Arial" w:cs="Arial" w:eastAsia="Arial" w:hAnsi="Arial"/>
          <w:b/>
          <w:bCs/>
          <w:sz w:val="20"/>
          <w:szCs w:val="20"/>
        </w:rPr>
        <w:t xml:space="preserve">DSPs &amp; Platforms: </w:t>
      </w:r>
      <w:r>
        <w:rPr>
          <w:rFonts w:ascii="Arial" w:cs="Arial" w:eastAsia="Arial" w:hAnsi="Arial"/>
          <w:sz w:val="20"/>
          <w:szCs w:val="20"/>
        </w:rPr>
        <w:t xml:space="preserve">The Trade Desk (TTD), DV360 (Google Display &amp; Video 360), Xandr, Yahoo DSP, YouTube Ads, Viant (CTV, display, DOOH), Amazon DSP (certified), Google Campaign Manager 360 (CM360), Sizmek, Zeta, Basis, Quantcast; RTB, PMP/PG, deal IDs, open exchange</w:t>
      </w:r>
    </w:p>
    <w:p>
      <w:pPr>
        <w:spacing w:after="40"/>
      </w:pPr>
      <w:r>
        <w:rPr>
          <w:rFonts w:ascii="Arial" w:cs="Arial" w:eastAsia="Arial" w:hAnsi="Arial"/>
          <w:b/>
          <w:bCs/>
          <w:sz w:val="20"/>
          <w:szCs w:val="20"/>
        </w:rPr>
        <w:t xml:space="preserve">Campaign Operations: </w:t>
      </w:r>
      <w:r>
        <w:rPr>
          <w:rFonts w:ascii="Arial" w:cs="Arial" w:eastAsia="Arial" w:hAnsi="Arial"/>
          <w:sz w:val="20"/>
          <w:szCs w:val="20"/>
        </w:rPr>
        <w:t xml:space="preserve">campaign setup, trafficking, creative and pixel/tag QA, budget pacing, bid optimization, delivery troubleshooting, frequency capping, brand safety, audience activation, DCO and rich-media (Celtra), renewal narratives</w:t>
      </w:r>
    </w:p>
    <w:p>
      <w:pPr>
        <w:spacing w:after="40"/>
      </w:pPr>
      <w:r>
        <w:rPr>
          <w:rFonts w:ascii="Arial" w:cs="Arial" w:eastAsia="Arial" w:hAnsi="Arial"/>
          <w:b/>
          <w:bCs/>
          <w:sz w:val="20"/>
          <w:szCs w:val="20"/>
        </w:rPr>
        <w:t xml:space="preserve">Measurement &amp; Analytics: </w:t>
      </w:r>
      <w:r>
        <w:rPr>
          <w:rFonts w:ascii="Arial" w:cs="Arial" w:eastAsia="Arial" w:hAnsi="Arial"/>
          <w:sz w:val="20"/>
          <w:szCs w:val="20"/>
        </w:rPr>
        <w:t xml:space="preserve">CTV measurement frameworks, conversion-path analysis, closed-loop attribution, ROAS, CPA, CPM, CTR, VCR, CPV, viewability; GA4, Google Search Console, Tableau, Looker Studio, Excel (pivot tables, XLOOKUP), KPI dashboards</w:t>
      </w:r>
    </w:p>
    <w:p>
      <w:pPr>
        <w:spacing w:after="40"/>
      </w:pPr>
      <w:r>
        <w:rPr>
          <w:rFonts w:ascii="Arial" w:cs="Arial" w:eastAsia="Arial" w:hAnsi="Arial"/>
          <w:b/>
          <w:bCs/>
          <w:sz w:val="20"/>
          <w:szCs w:val="20"/>
        </w:rPr>
        <w:t xml:space="preserve">First-Party Data &amp; Activation: </w:t>
      </w:r>
      <w:r>
        <w:rPr>
          <w:rFonts w:ascii="Arial" w:cs="Arial" w:eastAsia="Arial" w:hAnsi="Arial"/>
          <w:sz w:val="20"/>
          <w:szCs w:val="20"/>
        </w:rPr>
        <w:t xml:space="preserve">CDP workflows across 21M+ profiles, custom pixels, POS integrations, 6 DSP activation paths, regulated-category data</w:t>
      </w:r>
    </w:p>
    <w:p>
      <w:pPr>
        <w:spacing w:after="40"/>
      </w:pPr>
      <w:r>
        <w:rPr>
          <w:rFonts w:ascii="Arial" w:cs="Arial" w:eastAsia="Arial" w:hAnsi="Arial"/>
          <w:b/>
          <w:bCs/>
          <w:sz w:val="20"/>
          <w:szCs w:val="20"/>
        </w:rPr>
        <w:t xml:space="preserve">Automation &amp; AI: </w:t>
      </w:r>
      <w:r>
        <w:rPr>
          <w:rFonts w:ascii="Arial" w:cs="Arial" w:eastAsia="Arial" w:hAnsi="Arial"/>
          <w:sz w:val="20"/>
          <w:szCs w:val="20"/>
        </w:rPr>
        <w:t xml:space="preserve">Python, Pandas, SQL, Django, PostgreSQL, Google Colab; reporting automation, dashboards, pacing alerts; AI tooling (Claude, Codex, Cursor, Copilot), AI-assisted workflows adopted as team standards, and AI enablement training for a Stanford research lab</w:t>
      </w:r>
    </w:p>
    <w:p>
      <w:pPr>
        <w:pBdr>
          <w:bottom w:val="single" w:color="444444" w:sz="6" w:space="2"/>
        </w:pBdr>
        <w:spacing w:after="80" w:before="160"/>
      </w:pPr>
      <w:r>
        <w:rPr>
          <w:rFonts w:ascii="Arial" w:cs="Arial" w:eastAsia="Arial" w:hAnsi="Arial"/>
          <w:b/>
          <w:bCs/>
          <w:sz w:val="22"/>
          <w:szCs w:val="22"/>
        </w:rPr>
        <w:t xml:space="preserve">PROFESSIONAL EXPERIENCE</w:t>
      </w:r>
    </w:p>
    <w:p>
      <w:pPr>
        <w:spacing w:after="0" w:before="120"/>
      </w:pPr>
      <w:r>
        <w:rPr>
          <w:rFonts w:ascii="Arial" w:cs="Arial" w:eastAsia="Arial" w:hAnsi="Arial"/>
          <w:b/>
          <w:bCs/>
          <w:sz w:val="20"/>
          <w:szCs w:val="20"/>
        </w:rPr>
        <w:t xml:space="preserve">AI Research Productivity Consultant</w:t>
      </w:r>
    </w:p>
    <w:p>
      <w:pPr>
        <w:spacing w:after="0"/>
      </w:pPr>
      <w:r>
        <w:rPr>
          <w:rFonts w:ascii="Arial" w:cs="Arial" w:eastAsia="Arial" w:hAnsi="Arial"/>
          <w:sz w:val="19"/>
          <w:szCs w:val="19"/>
        </w:rPr>
        <w:t xml:space="preserve">COLEMAN LAB, STANFORD UNIVERSITY | Remote (Consulting)</w:t>
      </w:r>
    </w:p>
    <w:p>
      <w:pPr>
        <w:spacing w:after="0"/>
      </w:pPr>
      <w:r>
        <w:rPr>
          <w:rFonts w:ascii="Arial" w:cs="Arial" w:eastAsia="Arial" w:hAnsi="Arial"/>
          <w:sz w:val="19"/>
          <w:szCs w:val="19"/>
        </w:rPr>
        <w:t xml:space="preserve">03/2026 - Present</w:t>
      </w:r>
    </w:p>
    <w:p>
      <w:pPr>
        <w:pStyle w:val="ListParagraph"/>
        <w:numPr>
          <w:ilvl w:val="0"/>
          <w:numId w:val="2"/>
        </w:numPr>
        <w:spacing w:after="40"/>
      </w:pPr>
      <w:r>
        <w:rPr>
          <w:rFonts w:ascii="Arial" w:cs="Arial" w:eastAsia="Arial" w:hAnsi="Arial"/>
          <w:sz w:val="20"/>
          <w:szCs w:val="20"/>
        </w:rPr>
        <w:t xml:space="preserve">Run AI enablement for the lab: train PhD researchers on AI tools including Claude and Codex, set the workflow standards for how they apply them, and own the interactive learning platform the BIOE 230 course runs on (180 modules, 960 practice problems, contextual AI tutor).</w:t>
      </w:r>
    </w:p>
    <w:p>
      <w:pPr>
        <w:spacing w:after="0" w:before="120"/>
      </w:pPr>
      <w:r>
        <w:rPr>
          <w:rFonts w:ascii="Arial" w:cs="Arial" w:eastAsia="Arial" w:hAnsi="Arial"/>
          <w:b/>
          <w:bCs/>
          <w:sz w:val="20"/>
          <w:szCs w:val="20"/>
        </w:rPr>
        <w:t xml:space="preserve">Chief Technology Officer / Acting Chief Operating Officer</w:t>
      </w:r>
    </w:p>
    <w:p>
      <w:pPr>
        <w:spacing w:after="0"/>
      </w:pPr>
      <w:r>
        <w:rPr>
          <w:rFonts w:ascii="Arial" w:cs="Arial" w:eastAsia="Arial" w:hAnsi="Arial"/>
          <w:sz w:val="19"/>
          <w:szCs w:val="19"/>
        </w:rPr>
        <w:t xml:space="preserve">CONFIDENTIAL ADTECH STARTUP | Los Angeles, CA</w:t>
      </w:r>
    </w:p>
    <w:p>
      <w:pPr>
        <w:spacing w:after="0"/>
      </w:pPr>
      <w:r>
        <w:rPr>
          <w:rFonts w:ascii="Arial" w:cs="Arial" w:eastAsia="Arial" w:hAnsi="Arial"/>
          <w:sz w:val="19"/>
          <w:szCs w:val="19"/>
        </w:rPr>
        <w:t xml:space="preserve">04/2025 - 03/2026</w:t>
      </w:r>
    </w:p>
    <w:p>
      <w:pPr>
        <w:spacing w:after="40"/>
      </w:pPr>
      <w:r>
        <w:rPr>
          <w:rFonts w:ascii="Arial" w:cs="Arial" w:eastAsia="Arial" w:hAnsi="Arial"/>
          <w:i/>
          <w:iCs/>
          <w:sz w:val="18"/>
          <w:szCs w:val="18"/>
        </w:rPr>
        <w:t xml:space="preserve">Programmatic advertising and retail media platform for regulated industries, built on a first-party-data flywheel (B2C consumer platform to CDP to B2B programmatic activation).</w:t>
      </w:r>
    </w:p>
    <w:p>
      <w:pPr>
        <w:pStyle w:val="ListParagraph"/>
        <w:numPr>
          <w:ilvl w:val="0"/>
          <w:numId w:val="2"/>
        </w:numPr>
        <w:spacing w:after="40"/>
      </w:pPr>
      <w:r>
        <w:rPr>
          <w:rFonts w:ascii="Arial" w:cs="Arial" w:eastAsia="Arial" w:hAnsi="Arial"/>
          <w:sz w:val="20"/>
          <w:szCs w:val="20"/>
        </w:rPr>
        <w:t xml:space="preserve">Ran day-to-day operations across the business: led the Account Operations team that ran programmatic campaigns end to end, plus engineering and customer success, within a 15-person organization; made AI-assisted workflows a team-wide operating standard.</w:t>
      </w:r>
    </w:p>
    <w:p>
      <w:pPr>
        <w:pStyle w:val="ListParagraph"/>
        <w:numPr>
          <w:ilvl w:val="0"/>
          <w:numId w:val="2"/>
        </w:numPr>
        <w:spacing w:after="40"/>
      </w:pPr>
      <w:r>
        <w:rPr>
          <w:rFonts w:ascii="Arial" w:cs="Arial" w:eastAsia="Arial" w:hAnsi="Arial"/>
          <w:sz w:val="20"/>
          <w:szCs w:val="20"/>
        </w:rPr>
        <w:t xml:space="preserve">Managed and developed the account managers who ran campaigns end to end, writing the launch scripts and playbooks they worked from and converting recurring delivery, tracking, and reporting issues into QA standards and training.</w:t>
      </w:r>
    </w:p>
    <w:p>
      <w:pPr>
        <w:pStyle w:val="ListParagraph"/>
        <w:numPr>
          <w:ilvl w:val="0"/>
          <w:numId w:val="2"/>
        </w:numPr>
        <w:spacing w:after="40"/>
      </w:pPr>
      <w:r>
        <w:rPr>
          <w:rFonts w:ascii="Arial" w:cs="Arial" w:eastAsia="Arial" w:hAnsi="Arial"/>
          <w:sz w:val="20"/>
          <w:szCs w:val="20"/>
        </w:rPr>
        <w:t xml:space="preserve">Managed 200+ simultaneous advertiser accounts at 85% retention and 85% gross margins.</w:t>
      </w:r>
    </w:p>
    <w:p>
      <w:pPr>
        <w:pStyle w:val="ListParagraph"/>
        <w:numPr>
          <w:ilvl w:val="0"/>
          <w:numId w:val="2"/>
        </w:numPr>
        <w:spacing w:after="40"/>
      </w:pPr>
      <w:r>
        <w:rPr>
          <w:rFonts w:ascii="Arial" w:cs="Arial" w:eastAsia="Arial" w:hAnsi="Arial"/>
          <w:sz w:val="20"/>
          <w:szCs w:val="20"/>
        </w:rPr>
        <w:t xml:space="preserve">Set pricing, go-to-market strategy, and client qualification with executive leadership, navigating government and ad-platform restrictions on a regulated category to define what could be sold, to whom, and at what margin.</w:t>
      </w:r>
    </w:p>
    <w:p>
      <w:pPr>
        <w:pStyle w:val="ListParagraph"/>
        <w:numPr>
          <w:ilvl w:val="0"/>
          <w:numId w:val="2"/>
        </w:numPr>
        <w:spacing w:after="40"/>
      </w:pPr>
      <w:r>
        <w:rPr>
          <w:rFonts w:ascii="Arial" w:cs="Arial" w:eastAsia="Arial" w:hAnsi="Arial"/>
          <w:sz w:val="20"/>
          <w:szCs w:val="20"/>
        </w:rPr>
        <w:t xml:space="preserve">Replaced the company's third-party TapClicks stack by coding the operating and reporting platform from scratch in Python/Django for a $300K-$500K/month programmatic and retail-media business, cutting tooling cost from $4,300 to $1,534 per month and account-management and campaign-launch time 60%; built the CDP (21M+ profiles, custom conversion pixel, 3 POS, 6 DSP paths), closed-loop attribution, automated bid optimization, and a shoppable ad-unit builder with DCO behind it.</w:t>
      </w:r>
    </w:p>
    <w:p>
      <w:pPr>
        <w:spacing w:after="0" w:before="120"/>
      </w:pPr>
      <w:r>
        <w:rPr>
          <w:rFonts w:ascii="Arial" w:cs="Arial" w:eastAsia="Arial" w:hAnsi="Arial"/>
          <w:b/>
          <w:bCs/>
          <w:sz w:val="20"/>
          <w:szCs w:val="20"/>
        </w:rPr>
        <w:t xml:space="preserve">Senior Account Operations Manager</w:t>
      </w:r>
    </w:p>
    <w:p>
      <w:pPr>
        <w:spacing w:after="0"/>
      </w:pPr>
      <w:r>
        <w:rPr>
          <w:rFonts w:ascii="Arial" w:cs="Arial" w:eastAsia="Arial" w:hAnsi="Arial"/>
          <w:sz w:val="19"/>
          <w:szCs w:val="19"/>
        </w:rPr>
        <w:t xml:space="preserve">CAUSAL IQ | Los Angeles, CA</w:t>
      </w:r>
    </w:p>
    <w:p>
      <w:pPr>
        <w:spacing w:after="0"/>
      </w:pPr>
      <w:r>
        <w:rPr>
          <w:rFonts w:ascii="Arial" w:cs="Arial" w:eastAsia="Arial" w:hAnsi="Arial"/>
          <w:sz w:val="19"/>
          <w:szCs w:val="19"/>
        </w:rPr>
        <w:t xml:space="preserve">11/2022 - 03/2025</w:t>
      </w:r>
    </w:p>
    <w:p>
      <w:pPr>
        <w:spacing w:after="40"/>
      </w:pPr>
      <w:r>
        <w:rPr>
          <w:rFonts w:ascii="Arial" w:cs="Arial" w:eastAsia="Arial" w:hAnsi="Arial"/>
          <w:i/>
          <w:iCs/>
          <w:sz w:val="18"/>
          <w:szCs w:val="18"/>
        </w:rPr>
        <w:t xml:space="preserve">Programmatic media buying and optimization. Programmatic advertising platform serving agencies and performance advertisers; clients included CDC, Hertz, Grammarly, Orangetheory, AAA Auto, Floor &amp; Decor, Thomas J. Henry, and Party City.</w:t>
      </w:r>
    </w:p>
    <w:p>
      <w:pPr>
        <w:pStyle w:val="ListParagraph"/>
        <w:numPr>
          <w:ilvl w:val="0"/>
          <w:numId w:val="2"/>
        </w:numPr>
        <w:spacing w:after="40"/>
      </w:pPr>
      <w:r>
        <w:rPr>
          <w:rFonts w:ascii="Arial" w:cs="Arial" w:eastAsia="Arial" w:hAnsi="Arial"/>
          <w:sz w:val="20"/>
          <w:szCs w:val="20"/>
        </w:rPr>
        <w:t xml:space="preserve">Managed a programmatic book that peaked at $1.2M/month across DV360, The Trade Desk, Yahoo, Xandr, and YouTube; held 75-83% account-level gross margins and consistently ranked #1 or #2 of 22 managers on margin.</w:t>
      </w:r>
    </w:p>
    <w:p>
      <w:pPr>
        <w:pStyle w:val="ListParagraph"/>
        <w:numPr>
          <w:ilvl w:val="0"/>
          <w:numId w:val="2"/>
        </w:numPr>
        <w:spacing w:after="40"/>
      </w:pPr>
      <w:r>
        <w:rPr>
          <w:rFonts w:ascii="Arial" w:cs="Arial" w:eastAsia="Arial" w:hAnsi="Arial"/>
          <w:sz w:val="20"/>
          <w:szCs w:val="20"/>
        </w:rPr>
        <w:t xml:space="preserve">Earned agency 22Squared's trust on a $50K Party City campaign by delivering a CPA roughly one-fifth that of four competing vendors (about 5x more cost-efficient), verified in Google Campaign Manager (CM360) data.</w:t>
      </w:r>
    </w:p>
    <w:p>
      <w:pPr>
        <w:pStyle w:val="ListParagraph"/>
        <w:numPr>
          <w:ilvl w:val="0"/>
          <w:numId w:val="2"/>
        </w:numPr>
        <w:spacing w:after="40"/>
      </w:pPr>
      <w:r>
        <w:rPr>
          <w:rFonts w:ascii="Arial" w:cs="Arial" w:eastAsia="Arial" w:hAnsi="Arial"/>
          <w:sz w:val="20"/>
          <w:szCs w:val="20"/>
        </w:rPr>
        <w:t xml:space="preserve">Expanded Floor &amp; Decor from roughly $10K/month to $250K/month by layering native onto display, and grew flagship client Thomas J. Henry, my largest account, from roughly $700K to $1.2M/month by adding CTV and online video to their Display.</w:t>
      </w:r>
    </w:p>
    <w:p>
      <w:pPr>
        <w:pStyle w:val="ListParagraph"/>
        <w:numPr>
          <w:ilvl w:val="0"/>
          <w:numId w:val="2"/>
        </w:numPr>
        <w:spacing w:after="40"/>
      </w:pPr>
      <w:r>
        <w:rPr>
          <w:rFonts w:ascii="Arial" w:cs="Arial" w:eastAsia="Arial" w:hAnsi="Arial"/>
          <w:sz w:val="20"/>
          <w:szCs w:val="20"/>
        </w:rPr>
        <w:t xml:space="preserve">Ran Thomas J. Henry's Super Bowl and Olympics CTV flights alongside their Display and online video, coded the time-to-conversion (Display-plus-CTV) report Causal IQ adopted company-wide to upsell CTV alongside Display, and coordinated a client Nielsen brand-lift study.</w:t>
      </w:r>
    </w:p>
    <w:p>
      <w:pPr>
        <w:pStyle w:val="ListParagraph"/>
        <w:numPr>
          <w:ilvl w:val="0"/>
          <w:numId w:val="2"/>
        </w:numPr>
        <w:spacing w:after="40"/>
      </w:pPr>
      <w:r>
        <w:rPr>
          <w:rFonts w:ascii="Arial" w:cs="Arial" w:eastAsia="Arial" w:hAnsi="Arial"/>
          <w:sz w:val="20"/>
          <w:szCs w:val="20"/>
        </w:rPr>
        <w:t xml:space="preserve">Designed a CTV measurement framework comparing Display-only, CTV-only, and CTV+Display conversion paths; the combined path showed a 5-7 day shorter time to signup, which unlocked incremental CTV budget.</w:t>
      </w:r>
    </w:p>
    <w:p>
      <w:pPr>
        <w:pStyle w:val="ListParagraph"/>
        <w:numPr>
          <w:ilvl w:val="0"/>
          <w:numId w:val="2"/>
        </w:numPr>
        <w:spacing w:after="40"/>
      </w:pPr>
      <w:r>
        <w:rPr>
          <w:rFonts w:ascii="Arial" w:cs="Arial" w:eastAsia="Arial" w:hAnsi="Arial"/>
          <w:sz w:val="20"/>
          <w:szCs w:val="20"/>
        </w:rPr>
        <w:t xml:space="preserve">Cut recurring reporting from roughly 6 hours to 6 minutes by building Python/Pandas tools that became company-wide standards.</w:t>
      </w:r>
    </w:p>
    <w:p>
      <w:pPr>
        <w:spacing w:after="0" w:before="120"/>
      </w:pPr>
      <w:r>
        <w:rPr>
          <w:rFonts w:ascii="Arial" w:cs="Arial" w:eastAsia="Arial" w:hAnsi="Arial"/>
          <w:b/>
          <w:bCs/>
          <w:sz w:val="20"/>
          <w:szCs w:val="20"/>
        </w:rPr>
        <w:t xml:space="preserve">Account Operations Manager</w:t>
      </w:r>
    </w:p>
    <w:p>
      <w:pPr>
        <w:spacing w:after="0"/>
      </w:pPr>
      <w:r>
        <w:rPr>
          <w:rFonts w:ascii="Arial" w:cs="Arial" w:eastAsia="Arial" w:hAnsi="Arial"/>
          <w:sz w:val="19"/>
          <w:szCs w:val="19"/>
        </w:rPr>
        <w:t xml:space="preserve">CAUSAL IQ | Los Angeles, CA</w:t>
      </w:r>
    </w:p>
    <w:p>
      <w:pPr>
        <w:spacing w:after="0"/>
      </w:pPr>
      <w:r>
        <w:rPr>
          <w:rFonts w:ascii="Arial" w:cs="Arial" w:eastAsia="Arial" w:hAnsi="Arial"/>
          <w:sz w:val="19"/>
          <w:szCs w:val="19"/>
        </w:rPr>
        <w:t xml:space="preserve">06/2019 - 11/2022</w:t>
      </w:r>
    </w:p>
    <w:p>
      <w:pPr>
        <w:spacing w:after="40"/>
      </w:pPr>
      <w:r>
        <w:rPr>
          <w:rFonts w:ascii="Arial" w:cs="Arial" w:eastAsia="Arial" w:hAnsi="Arial"/>
          <w:i/>
          <w:iCs/>
          <w:sz w:val="18"/>
          <w:szCs w:val="18"/>
        </w:rPr>
        <w:t xml:space="preserve">Programmatic campaign operations across DV360 and Xandr.</w:t>
      </w:r>
    </w:p>
    <w:p>
      <w:pPr>
        <w:pStyle w:val="ListParagraph"/>
        <w:numPr>
          <w:ilvl w:val="0"/>
          <w:numId w:val="2"/>
        </w:numPr>
        <w:spacing w:after="40"/>
      </w:pPr>
      <w:r>
        <w:rPr>
          <w:rFonts w:ascii="Arial" w:cs="Arial" w:eastAsia="Arial" w:hAnsi="Arial"/>
          <w:sz w:val="20"/>
          <w:szCs w:val="20"/>
        </w:rPr>
        <w:t xml:space="preserve">Managed display, video, and CTV campaigns across DV360 and Xandr, overseeing 100+ concurrent line items, campaign QA, budget pacing, bid and audience recommendations, and client-ready reporting.</w:t>
      </w:r>
    </w:p>
    <w:p>
      <w:pPr>
        <w:pStyle w:val="ListParagraph"/>
        <w:numPr>
          <w:ilvl w:val="0"/>
          <w:numId w:val="2"/>
        </w:numPr>
        <w:spacing w:after="40"/>
      </w:pPr>
      <w:r>
        <w:rPr>
          <w:rFonts w:ascii="Arial" w:cs="Arial" w:eastAsia="Arial" w:hAnsi="Arial"/>
          <w:sz w:val="20"/>
          <w:szCs w:val="20"/>
        </w:rPr>
        <w:t xml:space="preserve">Ranked #2 in profitability out of 14 managers for two consecutive years; built reusable Google Colab templates for pacing, QA, reporting, and campaign setup workflows.</w:t>
      </w:r>
    </w:p>
    <w:p>
      <w:pPr>
        <w:spacing w:after="0" w:before="120"/>
      </w:pPr>
      <w:r>
        <w:rPr>
          <w:rFonts w:ascii="Arial" w:cs="Arial" w:eastAsia="Arial" w:hAnsi="Arial"/>
          <w:b/>
          <w:bCs/>
          <w:sz w:val="20"/>
          <w:szCs w:val="20"/>
        </w:rPr>
        <w:t xml:space="preserve">Director of Research and Technology</w:t>
      </w:r>
    </w:p>
    <w:p>
      <w:pPr>
        <w:spacing w:after="0"/>
      </w:pPr>
      <w:r>
        <w:rPr>
          <w:rFonts w:ascii="Arial" w:cs="Arial" w:eastAsia="Arial" w:hAnsi="Arial"/>
          <w:sz w:val="19"/>
          <w:szCs w:val="19"/>
        </w:rPr>
        <w:t xml:space="preserve">RE/MAX OF NAPERVILLE AND RE/MAX ENTERPRISES | Naperville, IL</w:t>
      </w:r>
    </w:p>
    <w:p>
      <w:pPr>
        <w:spacing w:after="0"/>
      </w:pPr>
      <w:r>
        <w:rPr>
          <w:rFonts w:ascii="Arial" w:cs="Arial" w:eastAsia="Arial" w:hAnsi="Arial"/>
          <w:sz w:val="19"/>
          <w:szCs w:val="19"/>
        </w:rPr>
        <w:t xml:space="preserve">09/2014 - 06/2019</w:t>
      </w:r>
    </w:p>
    <w:p>
      <w:pPr>
        <w:spacing w:after="40"/>
      </w:pPr>
      <w:r>
        <w:rPr>
          <w:rFonts w:ascii="Arial" w:cs="Arial" w:eastAsia="Arial" w:hAnsi="Arial"/>
          <w:i/>
          <w:iCs/>
          <w:sz w:val="18"/>
          <w:szCs w:val="18"/>
        </w:rPr>
        <w:t xml:space="preserve">Top-producing RE/MAX franchise; 120+ agents.</w:t>
      </w:r>
    </w:p>
    <w:p>
      <w:pPr>
        <w:pStyle w:val="ListParagraph"/>
        <w:numPr>
          <w:ilvl w:val="0"/>
          <w:numId w:val="2"/>
        </w:numPr>
        <w:spacing w:after="40"/>
      </w:pPr>
      <w:r>
        <w:rPr>
          <w:rFonts w:ascii="Arial" w:cs="Arial" w:eastAsia="Arial" w:hAnsi="Arial"/>
          <w:sz w:val="20"/>
          <w:szCs w:val="20"/>
        </w:rPr>
        <w:t xml:space="preserve">Developed Python-based marketing automation and competitive analysis packages for 120 agents, improving local-market positioning and lifting agent recruitment by 10% over 12 months.</w:t>
      </w:r>
    </w:p>
    <w:p>
      <w:pPr>
        <w:spacing w:after="0" w:before="120"/>
      </w:pPr>
      <w:r>
        <w:rPr>
          <w:rFonts w:ascii="Arial" w:cs="Arial" w:eastAsia="Arial" w:hAnsi="Arial"/>
          <w:b/>
          <w:bCs/>
          <w:sz w:val="20"/>
          <w:szCs w:val="20"/>
        </w:rPr>
        <w:t xml:space="preserve">Director of Operations, North America</w:t>
      </w:r>
    </w:p>
    <w:p>
      <w:pPr>
        <w:spacing w:after="0"/>
      </w:pPr>
      <w:r>
        <w:rPr>
          <w:rFonts w:ascii="Arial" w:cs="Arial" w:eastAsia="Arial" w:hAnsi="Arial"/>
          <w:sz w:val="19"/>
          <w:szCs w:val="19"/>
        </w:rPr>
        <w:t xml:space="preserve">DOVEMED LTD. | Champaign, IL</w:t>
      </w:r>
    </w:p>
    <w:p>
      <w:pPr>
        <w:spacing w:after="0"/>
      </w:pPr>
      <w:r>
        <w:rPr>
          <w:rFonts w:ascii="Arial" w:cs="Arial" w:eastAsia="Arial" w:hAnsi="Arial"/>
          <w:sz w:val="19"/>
          <w:szCs w:val="19"/>
        </w:rPr>
        <w:t xml:space="preserve">03/2015 - 11/2018  (part-time, concurrent with RE/MAX)</w:t>
      </w:r>
    </w:p>
    <w:p>
      <w:pPr>
        <w:spacing w:after="40"/>
      </w:pPr>
      <w:r>
        <w:rPr>
          <w:rFonts w:ascii="Arial" w:cs="Arial" w:eastAsia="Arial" w:hAnsi="Arial"/>
          <w:i/>
          <w:iCs/>
          <w:sz w:val="18"/>
          <w:szCs w:val="18"/>
        </w:rPr>
        <w:t xml:space="preserve">Medical content platform serving healthcare professionals and consumers.</w:t>
      </w:r>
    </w:p>
    <w:p>
      <w:pPr>
        <w:pStyle w:val="ListParagraph"/>
        <w:numPr>
          <w:ilvl w:val="0"/>
          <w:numId w:val="2"/>
        </w:numPr>
        <w:spacing w:after="40"/>
      </w:pPr>
      <w:r>
        <w:rPr>
          <w:rFonts w:ascii="Arial" w:cs="Arial" w:eastAsia="Arial" w:hAnsi="Arial"/>
          <w:sz w:val="20"/>
          <w:szCs w:val="20"/>
        </w:rPr>
        <w:t xml:space="preserve">Led a 10-person engineering and content team across the U.S. and Poland; grew a global health information platform to 500,000 monthly active users in 14 months with near-zero paid marketing.</w:t>
      </w:r>
    </w:p>
    <w:p>
      <w:pPr>
        <w:pBdr>
          <w:bottom w:val="single" w:color="444444" w:sz="6" w:space="2"/>
        </w:pBdr>
        <w:spacing w:after="80" w:before="160"/>
      </w:pPr>
      <w:r>
        <w:rPr>
          <w:rFonts w:ascii="Arial" w:cs="Arial" w:eastAsia="Arial" w:hAnsi="Arial"/>
          <w:b/>
          <w:bCs/>
          <w:sz w:val="22"/>
          <w:szCs w:val="22"/>
        </w:rPr>
        <w:t xml:space="preserve">SELECTED WORK</w:t>
      </w:r>
    </w:p>
    <w:p>
      <w:pPr>
        <w:pStyle w:val="ListParagraph"/>
        <w:numPr>
          <w:ilvl w:val="0"/>
          <w:numId w:val="2"/>
        </w:numPr>
        <w:spacing w:after="40"/>
      </w:pPr>
      <w:r>
        <w:rPr>
          <w:rFonts w:ascii="Arial" w:cs="Arial" w:eastAsia="Arial" w:hAnsi="Arial"/>
          <w:sz w:val="20"/>
          <w:szCs w:val="20"/>
        </w:rPr>
        <w:t xml:space="preserve">Open-source builds (MIT): BidLab (github.com/scumunna/BidLab), a programmatic-trading simulator whose math-true Trading Floor runs 50,000-auction simulations against the profit-optimal bid (124 lessons, 9 certification exams); Programmatic Skills (github.com/scumunna/programmatic-skills), a vendor-neutral agent-skills package (72 skills, 7 agents, 14 loops) making any AI assistant a programmatic trader across five DSPs.</w:t>
      </w:r>
    </w:p>
    <w:p>
      <w:pPr>
        <w:pBdr>
          <w:bottom w:val="single" w:color="444444" w:sz="6" w:space="2"/>
        </w:pBdr>
        <w:spacing w:after="80" w:before="160"/>
      </w:pPr>
      <w:r>
        <w:rPr>
          <w:rFonts w:ascii="Arial" w:cs="Arial" w:eastAsia="Arial" w:hAnsi="Arial"/>
          <w:b/>
          <w:bCs/>
          <w:sz w:val="22"/>
          <w:szCs w:val="22"/>
        </w:rPr>
        <w:t xml:space="preserve">CERTIFICATIONS &amp; EDUCATION</w:t>
      </w:r>
    </w:p>
    <w:p>
      <w:pPr>
        <w:spacing w:after="60"/>
      </w:pPr>
      <w:r>
        <w:rPr>
          <w:rFonts w:ascii="Arial" w:cs="Arial" w:eastAsia="Arial" w:hAnsi="Arial"/>
          <w:sz w:val="20"/>
          <w:szCs w:val="20"/>
        </w:rPr>
        <w:t xml:space="preserve">Certifications: All 2026. Google Skillshop: Display &amp; Video 360, Campaign Manager 360, Google Ads Display. Amazon Ads: Amazon DSP Campaigns. The Trade Desk Edge Academy: Trading Essentials (Kokai), Data-Driven Planning.</w:t>
      </w:r>
    </w:p>
    <w:p>
      <w:pPr>
        <w:spacing w:after="60"/>
      </w:pPr>
      <w:r>
        <w:rPr>
          <w:rFonts w:ascii="Arial" w:cs="Arial" w:eastAsia="Arial" w:hAnsi="Arial"/>
          <w:sz w:val="20"/>
          <w:szCs w:val="20"/>
        </w:rPr>
        <w:t xml:space="preserve">Education: Bachelor of Science, Molecular and Cellular Biology | University of Illinois at Urbana-Champaign</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2026-06-24T15:15:47.963Z</dcterms:created>
  <dcterms:modified xsi:type="dcterms:W3CDTF">2026-06-24T15:15:47.963Z</dcterms:modified>
</cp:coreProperties>
</file>

<file path=docProps/custom.xml><?xml version="1.0" encoding="utf-8"?>
<Properties xmlns="http://schemas.openxmlformats.org/officeDocument/2006/custom-properties" xmlns:vt="http://schemas.openxmlformats.org/officeDocument/2006/docPropsVTypes"/>
</file>