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1F9C" w14:textId="13E4D727" w:rsidR="00D616DD" w:rsidRPr="00D616DD" w:rsidRDefault="00D616DD" w:rsidP="00D616DD">
      <w:pPr>
        <w:jc w:val="center"/>
        <w:rPr>
          <w:b/>
          <w:bCs/>
          <w:u w:val="single"/>
        </w:rPr>
      </w:pPr>
      <w:r w:rsidRPr="00D616DD">
        <w:rPr>
          <w:b/>
          <w:bCs/>
          <w:u w:val="single"/>
        </w:rPr>
        <w:t>2025 Annual Report – CEO’s Report</w:t>
      </w:r>
    </w:p>
    <w:p w14:paraId="2D67488B" w14:textId="77777777" w:rsidR="00D616DD" w:rsidRDefault="00D616DD"/>
    <w:p w14:paraId="4F4275A9" w14:textId="4D1EB089" w:rsidR="006847BE" w:rsidRDefault="006847BE">
      <w:r>
        <w:t xml:space="preserve">It is with great pleasure that I present the performance of RV for FY25, together with an overview of the key initiatives and activities undertaken to maintain and strengthen Victoria’s position as Australia’s and one of the world’s leading thoroughbred racing jurisdictions. </w:t>
      </w:r>
    </w:p>
    <w:p w14:paraId="37457B96" w14:textId="77777777" w:rsidR="006847BE" w:rsidRDefault="006847BE">
      <w:r>
        <w:t xml:space="preserve">In my first full year as Chief Executive, our key focus has been on improving promotion of </w:t>
      </w:r>
      <w:proofErr w:type="gramStart"/>
      <w:r>
        <w:t>the sport</w:t>
      </w:r>
      <w:proofErr w:type="gramEnd"/>
      <w:r>
        <w:t xml:space="preserve"> and engagement with a broader audience, striving for greater transparency and collaboration with industry stakeholders, ensuring our business model is lean and efficient, and </w:t>
      </w:r>
      <w:proofErr w:type="spellStart"/>
      <w:r>
        <w:t>maximising</w:t>
      </w:r>
      <w:proofErr w:type="spellEnd"/>
      <w:r>
        <w:t xml:space="preserve"> returns to participants and those who invest in our sport. </w:t>
      </w:r>
    </w:p>
    <w:p w14:paraId="2811F01A" w14:textId="77777777" w:rsidR="006847BE" w:rsidRDefault="006847BE">
      <w:r>
        <w:t xml:space="preserve">Whilst positive progress has been made on </w:t>
      </w:r>
      <w:proofErr w:type="gramStart"/>
      <w:r>
        <w:t>all of</w:t>
      </w:r>
      <w:proofErr w:type="gramEnd"/>
      <w:r>
        <w:t xml:space="preserve"> those fronts, there is still work to be done, and efforts to strengthen outcomes around those key strategic priorities will continue in FY26 and beyond. </w:t>
      </w:r>
    </w:p>
    <w:p w14:paraId="65925019" w14:textId="77777777" w:rsidR="006847BE" w:rsidRDefault="006847BE">
      <w:r>
        <w:t xml:space="preserve">In FY25, RV recorded a </w:t>
      </w:r>
      <w:proofErr w:type="spellStart"/>
      <w:r>
        <w:t>normalised</w:t>
      </w:r>
      <w:proofErr w:type="spellEnd"/>
      <w:r>
        <w:t xml:space="preserve"> net deficit for underlying business performance of $2.532 million, which was slightly better than budgeted. This comes after adjustments to exclude one-off accounting and non-business-as-usual activity. Our statutory reported net deficit was $8.885 million, which is an improvement on the $11.834 million reported net deficit in FY24 that came after a run of 11 consecutive surpluses. </w:t>
      </w:r>
    </w:p>
    <w:p w14:paraId="5D9E018C" w14:textId="77777777" w:rsidR="006847BE" w:rsidRDefault="006847BE">
      <w:r>
        <w:t xml:space="preserve">Whilst macroeconomic headwinds and the transition of long-term industry funding arrangements were expected to place downward pressure on key revenue streams this year, maintaining strong returns to owners, participants and clubs and continuing to invest in world-class racing and training infrastructure has always remained a clear priority, and we are pleased to have been able to deliver on this. </w:t>
      </w:r>
    </w:p>
    <w:p w14:paraId="6780DA7A" w14:textId="77777777" w:rsidR="006847BE" w:rsidRDefault="006847BE">
      <w:r>
        <w:t xml:space="preserve">To support this objective, RV implemented a business-wide efficiency program spanning the 2024 and 2025 reporting periods, which has delivered ongoing savings - a cumulative reduction in operational expenditure of $13.484 million over the two years. Decisions taken in the second half of FY25 are also expected to generate further </w:t>
      </w:r>
      <w:proofErr w:type="spellStart"/>
      <w:r>
        <w:t>annualised</w:t>
      </w:r>
      <w:proofErr w:type="spellEnd"/>
      <w:r>
        <w:t xml:space="preserve"> efficiencies in FY26 and beyond as we right-size our business and work towards returning to </w:t>
      </w:r>
      <w:proofErr w:type="gramStart"/>
      <w:r>
        <w:t>break-even</w:t>
      </w:r>
      <w:proofErr w:type="gramEnd"/>
      <w:r>
        <w:t xml:space="preserve"> whilst continuing to invest in growth. </w:t>
      </w:r>
    </w:p>
    <w:p w14:paraId="203AD2AE" w14:textId="77777777" w:rsidR="006847BE" w:rsidRDefault="006847BE">
      <w:r>
        <w:t xml:space="preserve">Whilst the level of engagement in Victorian Thoroughbred Racing (VTR) remained strong, a range of factors led to a small decrease in the amount invested by active customers with wagering turnover declining by 4.0% to $7.611 billion. This total is 8.4% above pre-COVID levels and remains at nation-leading levels amongst Australian racing codes. With the increased </w:t>
      </w:r>
      <w:proofErr w:type="spellStart"/>
      <w:r>
        <w:t>PoCT</w:t>
      </w:r>
      <w:proofErr w:type="spellEnd"/>
      <w:r>
        <w:t xml:space="preserve"> rate coupled with regulatory uncertainty around Federal Government reforms, FY25 saw decreased investment in both customer marketing and promotions, compounding broader macroeconomic pressures impacting the wagering market. </w:t>
      </w:r>
    </w:p>
    <w:p w14:paraId="255B04C6" w14:textId="77777777" w:rsidR="006847BE" w:rsidRDefault="006847BE">
      <w:r>
        <w:t xml:space="preserve">Improving macro conditions and increased investment into our own content-led promotion saw wagering turnover on VTR bounce back in the second half of FY25, partially mitigating the wagering conditions experienced in the first half. I am pleased to report that early wagering figures obtained from the opening quarter of FY26 indicate that trend of consolidation and the positive momentum </w:t>
      </w:r>
      <w:proofErr w:type="gramStart"/>
      <w:r>
        <w:t>has</w:t>
      </w:r>
      <w:proofErr w:type="gramEnd"/>
      <w:r>
        <w:t xml:space="preserve"> continued. </w:t>
      </w:r>
    </w:p>
    <w:p w14:paraId="4B31CCAA" w14:textId="0BB12166" w:rsidR="00052B4E" w:rsidRDefault="006847BE">
      <w:r>
        <w:t xml:space="preserve">FY25 saw a transition from the historic </w:t>
      </w:r>
      <w:proofErr w:type="spellStart"/>
      <w:r>
        <w:t>VicTAB</w:t>
      </w:r>
      <w:proofErr w:type="spellEnd"/>
      <w:r>
        <w:t xml:space="preserve"> Joint Venture (JV) arrangements to a new multiyear industry distribution model agreed between the State Government and the Victorian Racing Industry (VRI) which provides greater exposure to future growth in the wagering market sector with long-term certainty for racing in Victoria. Noting this substantial transition, combined revenue from wagering and government sources declined marginally by 1.1% to $421.821 million, representing an outperformance relative to our wagering turnover.</w:t>
      </w:r>
    </w:p>
    <w:p w14:paraId="4635EC41" w14:textId="77777777" w:rsidR="006847BE" w:rsidRDefault="006847BE">
      <w:r>
        <w:t xml:space="preserve">We made important and significant changes to the corporate governance structure of our </w:t>
      </w:r>
      <w:proofErr w:type="gramStart"/>
      <w:r>
        <w:t>owned</w:t>
      </w:r>
      <w:proofErr w:type="gramEnd"/>
      <w:r>
        <w:t xml:space="preserve"> media business, Racing.com Media (RDCM), which came under RV operational management from 1 January 2025, to better align these assets with our broader industry growth strategy and to </w:t>
      </w:r>
      <w:proofErr w:type="spellStart"/>
      <w:r>
        <w:t>realise</w:t>
      </w:r>
      <w:proofErr w:type="spellEnd"/>
      <w:r>
        <w:t xml:space="preserve"> important operational efficiencies. </w:t>
      </w:r>
    </w:p>
    <w:p w14:paraId="513DF014" w14:textId="77777777" w:rsidR="006847BE" w:rsidRDefault="006847BE">
      <w:r>
        <w:t xml:space="preserve">With that strategic restructure now complete, a major focus of our media arm has been to consolidate the future of broadcasting for the sport, and advocate and promote the VTRI to the widest possible audience. I am delighted to report that we have made giant strides in that </w:t>
      </w:r>
      <w:proofErr w:type="gramStart"/>
      <w:r>
        <w:t>particular space</w:t>
      </w:r>
      <w:proofErr w:type="gramEnd"/>
      <w:r>
        <w:t xml:space="preserve">, securing new long-term broadcast agreements with the Seven Network (free-to-air and digital), Foxtel and Kayo whilst also welcoming Western Australian racing into the RDCM fold, thus growing its audience. </w:t>
      </w:r>
    </w:p>
    <w:p w14:paraId="5E447DB2" w14:textId="77777777" w:rsidR="006847BE" w:rsidRDefault="006847BE">
      <w:r>
        <w:t xml:space="preserve">The revamp of the media business continues into FY26 with the planned launch of the enhanced Racing.com website, the digital migration of vital industry publication Inside Racing, and the </w:t>
      </w:r>
      <w:proofErr w:type="spellStart"/>
      <w:r>
        <w:t>finalisation</w:t>
      </w:r>
      <w:proofErr w:type="spellEnd"/>
      <w:r>
        <w:t xml:space="preserve"> of the sale of industry-owned audio broadcast business and radio network, RSN Racing &amp; Sports (RSN) to Sports Entertainment Network (SEN). Further, we also extended a range of major commercial media partnerships to ensure VTR is the most widely distributed racing product that reaches the biggest </w:t>
      </w:r>
      <w:proofErr w:type="gramStart"/>
      <w:r>
        <w:t>audiences</w:t>
      </w:r>
      <w:proofErr w:type="gramEnd"/>
      <w:r>
        <w:t xml:space="preserve">, positioning the industry for further growth. </w:t>
      </w:r>
    </w:p>
    <w:p w14:paraId="62A5E28A" w14:textId="77777777" w:rsidR="006847BE" w:rsidRDefault="006847BE">
      <w:r>
        <w:t xml:space="preserve">The ongoing growth in engagement </w:t>
      </w:r>
      <w:proofErr w:type="gramStart"/>
      <w:r>
        <w:t>post</w:t>
      </w:r>
      <w:proofErr w:type="gramEnd"/>
      <w:r>
        <w:t xml:space="preserve"> the COVID era has also been reflected in attendance figures, with total attendances at Victorian race meetings increasing by almost 5% in FY25 to 1.16 million. This was underlined by excellent crowd growth across all Spring Racing Carnival meetings, with the four days at Flemington over Melbourne Cup Week the highest attended race meetings in Australia in FY25, as attendances across the week grew 9% year-on-year. </w:t>
      </w:r>
    </w:p>
    <w:p w14:paraId="2D8318A2" w14:textId="1954BB65" w:rsidR="006847BE" w:rsidRDefault="006847BE">
      <w:r>
        <w:t xml:space="preserve">It was pleasing to see this upward trend spread beyond metropolitan areas, with total attendance at country meetings up 10% from FY24 to FY25. Turnover was consistent with FY24 across the Country Cup meetings run during the Spring Racing Carnival, defying the broader first half wagering trends and underscoring the importance of country racing. </w:t>
      </w:r>
    </w:p>
    <w:p w14:paraId="7A743FC6" w14:textId="77777777" w:rsidR="006847BE" w:rsidRDefault="006847BE">
      <w:r>
        <w:t xml:space="preserve">The introduction of Racing Forums in FY25 contributed markedly to our goal of increasing collaboration with industry stakeholders and clubs. They provided a platform for industry leaders to share ideas and work together methodically on key decisions and initiatives around our racing program. </w:t>
      </w:r>
    </w:p>
    <w:p w14:paraId="45285C73" w14:textId="77777777" w:rsidR="006847BE" w:rsidRDefault="006847BE">
      <w:r>
        <w:t xml:space="preserve">RV’s unwavering commitment to industry and participant support saw expenditure in this area increase by 13.9% to $35.286 million in FY25, with new workforce development programs and initiatives like mental health first aid workshops helping to ensure the highest standards of welfare for our participants and thoroughbreds. </w:t>
      </w:r>
    </w:p>
    <w:p w14:paraId="295375FE" w14:textId="77777777" w:rsidR="006847BE" w:rsidRDefault="006847BE">
      <w:r>
        <w:t xml:space="preserve">Equine welfare continues to be one of the key pillars of our industry, and RV’s $5.94 million investment into equine welfare through expenditure and capital investment across FY25 took our total investment since the 2017 introduction of a contribution from prizemoney to $44 million. </w:t>
      </w:r>
    </w:p>
    <w:p w14:paraId="65DAED37" w14:textId="77777777" w:rsidR="006847BE" w:rsidRDefault="006847BE">
      <w:r>
        <w:t xml:space="preserve">We have been focused on providing greater transparency on how the 2% contribution from prizemoney is being allocated to help improve equine welfare outcomes and maintain our social </w:t>
      </w:r>
      <w:proofErr w:type="spellStart"/>
      <w:r>
        <w:t>licence</w:t>
      </w:r>
      <w:proofErr w:type="spellEnd"/>
      <w:r>
        <w:t xml:space="preserve"> with several industry updates throughout FY25. </w:t>
      </w:r>
    </w:p>
    <w:p w14:paraId="01F15BE3" w14:textId="77777777" w:rsidR="006847BE" w:rsidRDefault="006847BE">
      <w:r>
        <w:t xml:space="preserve">On the track, our veterinary protocols continue to set new global safety standards in FY25 as we celebrated the fourth consecutive Spring Racing Carnival without serious injury, whilst our Off </w:t>
      </w:r>
      <w:proofErr w:type="gramStart"/>
      <w:r>
        <w:t>The</w:t>
      </w:r>
      <w:proofErr w:type="gramEnd"/>
      <w:r>
        <w:t xml:space="preserve"> Track program continues to assist in the transition of thoroughbreds to life after racing by creating demand and promoting the unique versatility of the thoroughbred. </w:t>
      </w:r>
    </w:p>
    <w:p w14:paraId="07674D31" w14:textId="77777777" w:rsidR="006847BE" w:rsidRDefault="006847BE">
      <w:r>
        <w:t xml:space="preserve">Our emergency aid program was the source of a key investment in FY25 with $800,000 in drought relief delivered to support more than 1,800 eligible thoroughbreds in the face of challenging conditions </w:t>
      </w:r>
      <w:proofErr w:type="gramStart"/>
      <w:r>
        <w:t>throughout country</w:t>
      </w:r>
      <w:proofErr w:type="gramEnd"/>
      <w:r>
        <w:t xml:space="preserve"> Victoria. </w:t>
      </w:r>
    </w:p>
    <w:p w14:paraId="737FB7BF" w14:textId="77777777" w:rsidR="006847BE" w:rsidRDefault="006847BE">
      <w:r>
        <w:t xml:space="preserve">As we look ahead to FY26, our focus will be on a return to </w:t>
      </w:r>
      <w:proofErr w:type="gramStart"/>
      <w:r>
        <w:t>break-even</w:t>
      </w:r>
      <w:proofErr w:type="gramEnd"/>
      <w:r>
        <w:t xml:space="preserve"> whilst maintaining vital returns and support for participants and owners. Our </w:t>
      </w:r>
      <w:proofErr w:type="gramStart"/>
      <w:r>
        <w:t>restructure</w:t>
      </w:r>
      <w:proofErr w:type="gramEnd"/>
      <w:r>
        <w:t xml:space="preserve"> and efficiency program throughout FY25 provides the foundation to achieve that objective, whilst we focus on engagement and support from punters for a great racing program. </w:t>
      </w:r>
    </w:p>
    <w:p w14:paraId="250DB4EB" w14:textId="77777777" w:rsidR="006847BE" w:rsidRDefault="006847BE">
      <w:r>
        <w:t>At this juncture, I would like to extend my deepest gratitude to every industry participant and owner, who, along with our equine athletes, form the lifeblood of our great industry. I’d also like to thank all our metropolitan and country clubs for the pivotal role they play in showcasing our sport and engaging with the community – this is essential for the continued prosperity of the VTRI.</w:t>
      </w:r>
    </w:p>
    <w:p w14:paraId="1C61B0B4" w14:textId="6AC498BE" w:rsidR="006847BE" w:rsidRDefault="006847BE">
      <w:r>
        <w:t xml:space="preserve">Finally, my thanks also go to the RV Board, led by Chair Tim Eddy, for their continued support and leadership; and to my Executive team and all RV staff members for their incredible contribution to ensuring the success and viability of VTR for the benefit of all. </w:t>
      </w:r>
    </w:p>
    <w:p w14:paraId="4557B55C" w14:textId="19E25EF6" w:rsidR="006847BE" w:rsidRDefault="006847BE">
      <w:r>
        <w:t>Yours Sincerely,</w:t>
      </w:r>
    </w:p>
    <w:sectPr w:rsidR="00684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F0E"/>
    <w:rsid w:val="00052B4E"/>
    <w:rsid w:val="004012F7"/>
    <w:rsid w:val="004C172F"/>
    <w:rsid w:val="00531026"/>
    <w:rsid w:val="006847BE"/>
    <w:rsid w:val="00723F0E"/>
    <w:rsid w:val="00762564"/>
    <w:rsid w:val="00D616DD"/>
    <w:rsid w:val="00DA5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19A24"/>
  <w15:chartTrackingRefBased/>
  <w15:docId w15:val="{C2D86C51-A717-4425-89E5-C15E6547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F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F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F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F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F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F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F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F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F0E"/>
    <w:rPr>
      <w:rFonts w:eastAsiaTheme="majorEastAsia" w:cstheme="majorBidi"/>
      <w:color w:val="272727" w:themeColor="text1" w:themeTint="D8"/>
    </w:rPr>
  </w:style>
  <w:style w:type="paragraph" w:styleId="Title">
    <w:name w:val="Title"/>
    <w:basedOn w:val="Normal"/>
    <w:next w:val="Normal"/>
    <w:link w:val="TitleChar"/>
    <w:uiPriority w:val="10"/>
    <w:qFormat/>
    <w:rsid w:val="00723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F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F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F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F0E"/>
    <w:pPr>
      <w:spacing w:before="160"/>
      <w:jc w:val="center"/>
    </w:pPr>
    <w:rPr>
      <w:i/>
      <w:iCs/>
      <w:color w:val="404040" w:themeColor="text1" w:themeTint="BF"/>
    </w:rPr>
  </w:style>
  <w:style w:type="character" w:customStyle="1" w:styleId="QuoteChar">
    <w:name w:val="Quote Char"/>
    <w:basedOn w:val="DefaultParagraphFont"/>
    <w:link w:val="Quote"/>
    <w:uiPriority w:val="29"/>
    <w:rsid w:val="00723F0E"/>
    <w:rPr>
      <w:i/>
      <w:iCs/>
      <w:color w:val="404040" w:themeColor="text1" w:themeTint="BF"/>
    </w:rPr>
  </w:style>
  <w:style w:type="paragraph" w:styleId="ListParagraph">
    <w:name w:val="List Paragraph"/>
    <w:basedOn w:val="Normal"/>
    <w:uiPriority w:val="34"/>
    <w:qFormat/>
    <w:rsid w:val="00723F0E"/>
    <w:pPr>
      <w:ind w:left="720"/>
      <w:contextualSpacing/>
    </w:pPr>
  </w:style>
  <w:style w:type="character" w:styleId="IntenseEmphasis">
    <w:name w:val="Intense Emphasis"/>
    <w:basedOn w:val="DefaultParagraphFont"/>
    <w:uiPriority w:val="21"/>
    <w:qFormat/>
    <w:rsid w:val="00723F0E"/>
    <w:rPr>
      <w:i/>
      <w:iCs/>
      <w:color w:val="0F4761" w:themeColor="accent1" w:themeShade="BF"/>
    </w:rPr>
  </w:style>
  <w:style w:type="paragraph" w:styleId="IntenseQuote">
    <w:name w:val="Intense Quote"/>
    <w:basedOn w:val="Normal"/>
    <w:next w:val="Normal"/>
    <w:link w:val="IntenseQuoteChar"/>
    <w:uiPriority w:val="30"/>
    <w:qFormat/>
    <w:rsid w:val="00723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F0E"/>
    <w:rPr>
      <w:i/>
      <w:iCs/>
      <w:color w:val="0F4761" w:themeColor="accent1" w:themeShade="BF"/>
    </w:rPr>
  </w:style>
  <w:style w:type="character" w:styleId="IntenseReference">
    <w:name w:val="Intense Reference"/>
    <w:basedOn w:val="DefaultParagraphFont"/>
    <w:uiPriority w:val="32"/>
    <w:qFormat/>
    <w:rsid w:val="00723F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101c04-9bd0-4450-b8e0-f06616270ed3" xsi:nil="true"/>
    <_ip_UnifiedCompliancePolicyProperties xmlns="http://schemas.microsoft.com/sharepoint/v3" xsi:nil="true"/>
    <lcf76f155ced4ddcb4097134ff3c332f xmlns="bab99fa8-c496-4782-bd7b-9cf5254847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E86A3D-DEB9-4A42-914B-C6BAB6B8B116}"/>
</file>

<file path=customXml/itemProps2.xml><?xml version="1.0" encoding="utf-8"?>
<ds:datastoreItem xmlns:ds="http://schemas.openxmlformats.org/officeDocument/2006/customXml" ds:itemID="{6CD5E478-331F-4469-AEBE-99EEC61E85BE}"/>
</file>

<file path=customXml/itemProps3.xml><?xml version="1.0" encoding="utf-8"?>
<ds:datastoreItem xmlns:ds="http://schemas.openxmlformats.org/officeDocument/2006/customXml" ds:itemID="{8313D979-7FE3-48C3-9A38-750355BD4EE1}"/>
</file>

<file path=docProps/app.xml><?xml version="1.0" encoding="utf-8"?>
<Properties xmlns="http://schemas.openxmlformats.org/officeDocument/2006/extended-properties" xmlns:vt="http://schemas.openxmlformats.org/officeDocument/2006/docPropsVTypes">
  <Template>Normal</Template>
  <TotalTime>172</TotalTime>
  <Pages>4</Pages>
  <Words>1328</Words>
  <Characters>7294</Characters>
  <Application>Microsoft Office Word</Application>
  <DocSecurity>0</DocSecurity>
  <Lines>187</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Lesbirel</dc:creator>
  <cp:keywords/>
  <dc:description/>
  <cp:lastModifiedBy>Lewis Lesbirel</cp:lastModifiedBy>
  <cp:revision>2</cp:revision>
  <cp:lastPrinted>2025-11-19T22:44:00Z</cp:lastPrinted>
  <dcterms:created xsi:type="dcterms:W3CDTF">2025-11-19T22:43:00Z</dcterms:created>
  <dcterms:modified xsi:type="dcterms:W3CDTF">2025-11-20T05:44:00Z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0x01010088E7BB5507F7C346911F321FE0D71F4A</vt:lpwstr>
  </property>
  <property fmtid="{D5CDD505-2E9C-101B-9397-08002B2CF9AE}" pid="3" name="MSIP_Label_8aa9c153-d7ee-40b8-a677-241813e399e1_Enabled">
    <vt:lpwstr>true</vt:lpwstr>
  </property>
  <property fmtid="{D5CDD505-2E9C-101B-9397-08002B2CF9AE}" pid="4" name="MSIP_Label_8aa9c153-d7ee-40b8-a677-241813e399e1_SetDate">
    <vt:lpwstr>2026-06-21T10:56:20Z</vt:lpwstr>
  </property>
  <property fmtid="{D5CDD505-2E9C-101B-9397-08002B2CF9AE}" pid="5" name="MSIP_Label_8aa9c153-d7ee-40b8-a677-241813e399e1_Method">
    <vt:lpwstr>Standard</vt:lpwstr>
  </property>
  <property fmtid="{D5CDD505-2E9C-101B-9397-08002B2CF9AE}" pid="6" name="MSIP_Label_8aa9c153-d7ee-40b8-a677-241813e399e1_Name">
    <vt:lpwstr>Restricted</vt:lpwstr>
  </property>
  <property fmtid="{D5CDD505-2E9C-101B-9397-08002B2CF9AE}" pid="7" name="MSIP_Label_8aa9c153-d7ee-40b8-a677-241813e399e1_SiteId">
    <vt:lpwstr>2fc24401-21a6-4a14-be6a-6d11244d59ff</vt:lpwstr>
  </property>
  <property fmtid="{D5CDD505-2E9C-101B-9397-08002B2CF9AE}" pid="8" name="MSIP_Label_8aa9c153-d7ee-40b8-a677-241813e399e1_ActionId">
    <vt:lpwstr>88c287f8-3ed5-4dd3-b2c7-d908222856f9</vt:lpwstr>
  </property>
  <property fmtid="{D5CDD505-2E9C-101B-9397-08002B2CF9AE}" pid="9" name="MSIP_Label_8aa9c153-d7ee-40b8-a677-241813e399e1_ContentBits">
    <vt:lpwstr>0</vt:lpwstr>
  </property>
  <property fmtid="{D5CDD505-2E9C-101B-9397-08002B2CF9AE}" pid="10" name="MediaServiceImageTags">
    <vt:lpwstr/>
  </property>
</Properties>
</file>