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line="280" w:lineRule="auto"/>
      </w:pPr>
      <w:r>
        <w:rPr>
          <w:rFonts w:ascii="Gotham" w:hAnsi="Gotham"/>
          <w:b/>
          <w:color w:val="005FA1"/>
          <w:sz w:val="52"/>
        </w:rPr>
        <w:t xml:space="preserve">What I need to build the FY26 report</w:t>
      </w:r>
    </w:p>
    <w:p>
      <w:pPr>
        <w:spacing w:before="0" w:after="280" w:line="300" w:lineRule="auto"/>
      </w:pPr>
      <w:r>
        <w:rPr>
          <w:rFonts w:ascii="Gotham" w:hAnsi="Gotham"/>
          <w:b/>
          <w:color w:val="005FA1"/>
          <w:sz w:val="24"/>
        </w:rPr>
        <w:t xml:space="preserve">SECTIONS, INPUTS AND REQUIRED FORMATS</w:t>
      </w:r>
    </w:p>
    <w:p>
      <w:pPr>
        <w:spacing w:before="0" w:after="160" w:line="300" w:lineRule="auto"/>
      </w:pPr>
      <w:r>
        <w:rPr>
          <w:rFonts w:ascii="Gotham" w:hAnsi="Gotham"/>
          <w:color w:val="231F20"/>
          <w:sz w:val="24"/>
        </w:rPr>
        <w:t xml:space="preserve">Derived from the FY25 InDesign file: 84 pages, 43 spreads, 31 tables. Sections below are grouped as they run in the printed book. FY26 page numbers will shift, so page ranges are FY25’s and indicative only.</w:t>
      </w:r>
    </w:p>
    <w:p>
      <w:pPr>
        <w:spacing w:before="0" w:after="280" w:line="300" w:lineRule="auto"/>
      </w:pPr>
      <w:r>
        <w:rPr>
          <w:rFonts w:ascii="Gotham" w:hAnsi="Gotham"/>
          <w:color w:val="231F20"/>
          <w:sz w:val="24"/>
        </w:rPr>
        <w:t xml:space="preserve">One rule underpins everything: </w:t>
      </w:r>
      <w:r>
        <w:rPr>
          <w:rFonts w:ascii="Gotham" w:hAnsi="Gotham"/>
          <w:b/>
          <w:color w:val="231F20"/>
          <w:sz w:val="24"/>
        </w:rPr>
        <w:t xml:space="preserve">send raw values, not presentation.</w:t>
      </w:r>
      <w:r>
        <w:rPr>
          <w:rFonts w:ascii="Gotham" w:hAnsi="Gotham"/>
          <w:color w:val="231F20"/>
          <w:sz w:val="24"/>
        </w:rPr>
        <w:t xml:space="preserve"> Every rounding, percentage, variance and total is calculated at build time. If a figure is calculated in the source file, send the inputs instead and I will do the arithmetic once, consistently, in one place.</w:t>
      </w:r>
    </w:p>
    <w:p>
      <w:pPr>
        <w:keepNext/>
        <w:spacing w:before="360" w:after="140" w:line="280" w:lineRule="auto"/>
      </w:pPr>
      <w:r>
        <w:rPr>
          <w:rFonts w:ascii="Gotham" w:hAnsi="Gotham"/>
          <w:b/>
          <w:color w:val="005FA1"/>
          <w:sz w:val="30"/>
        </w:rPr>
        <w:t xml:space="preserve">The workbook contract</w:t>
      </w:r>
    </w:p>
    <w:p>
      <w:pPr>
        <w:spacing w:before="0" w:after="180" w:line="300" w:lineRule="auto"/>
      </w:pPr>
      <w:r>
        <w:rPr>
          <w:rFonts w:ascii="Gotham" w:hAnsi="Gotham"/>
          <w:color w:val="231F20"/>
          <w:sz w:val="24"/>
        </w:rPr>
        <w:t xml:space="preserve">Applies to every spreadsheet input. The FY25 workbooks broke three of these, which is what caused the missing participation figures.</w:t>
      </w:r>
    </w:p>
    <w:tbl>
      <w:tblPr>
        <w:tblW w:w="9638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FFFFFF"/>
          <w:insideV w:val="single" w:sz="4" w:space="0" w:color="FFFFFF"/>
        </w:tblBorders>
        <w:tblLayout w:type="fixed"/>
      </w:tblPr>
      <w:tblGrid>
        <w:gridCol w:w="3277"/>
        <w:gridCol w:w="6361"/>
      </w:tblGrid>
      <w:tr>
        <w:trPr>
          <w:tblHeader/>
        </w:trPr>
        <w:tc>
          <w:tcPr>
            <w:tcW w:w="3277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</w:tbl>
    <w:p>
      <w:pPr>
        <w:spacing w:after="0" w:line="120" w:lineRule="auto"/>
      </w:pPr>
    </w:p>
    <w:p>
      <w:pPr>
        <w:keepNext/>
        <w:spacing w:before="360" w:after="140" w:line="280" w:lineRule="auto"/>
      </w:pPr>
      <w:r>
        <w:rPr>
          <w:rFonts w:ascii="Gotham" w:hAnsi="Gotham"/>
          <w:b/>
          <w:color w:val="005FA1"/>
          <w:sz w:val="30"/>
        </w:rPr>
        <w:t xml:space="preserve">Part 1 — Front and narrative (FY25 pp. 1–27)</w:t>
      </w:r>
    </w:p>
    <w:tbl>
      <w:tblPr>
        <w:tblW w:w="9638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FFFFFF"/>
          <w:insideV w:val="single" w:sz="4" w:space="0" w:color="FFFFFF"/>
        </w:tblBorders>
        <w:tblLayout w:type="fixed"/>
      </w:tblPr>
      <w:tblGrid>
        <w:gridCol w:w="2217"/>
        <w:gridCol w:w="3855"/>
        <w:gridCol w:w="3566"/>
      </w:tblGrid>
      <w:tr>
        <w:trPr>
          <w:tblHeader/>
        </w:trPr>
        <w:tc>
          <w:tcPr>
            <w:tcW w:w="2217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855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1–3, 84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4–7</w:t>
            </w:r>
          </w:p>
        </w:tc>
        <w:tc>
          <w:tcPr>
            <w:tcW w:w="3855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p. 8 — built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p. 9</w:t>
            </w:r>
          </w:p>
        </w:tc>
        <w:tc>
          <w:tcPr>
            <w:tcW w:w="3855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10–11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12–13</w:t>
            </w:r>
          </w:p>
        </w:tc>
        <w:tc>
          <w:tcPr>
            <w:tcW w:w="3855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14–19, 26–27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20–21</w:t>
            </w:r>
          </w:p>
        </w:tc>
        <w:tc>
          <w:tcPr>
            <w:tcW w:w="3855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22–23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24–25</w:t>
            </w:r>
          </w:p>
        </w:tc>
        <w:tc>
          <w:tcPr>
            <w:tcW w:w="3855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</w:tbl>
    <w:p>
      <w:pPr>
        <w:spacing w:after="0" w:line="120" w:lineRule="auto"/>
      </w:pPr>
    </w:p>
    <w:p>
      <w:pPr>
        <w:keepNext/>
        <w:spacing w:before="360" w:after="140" w:line="280" w:lineRule="auto"/>
      </w:pPr>
      <w:r>
        <w:rPr>
          <w:rFonts w:ascii="Gotham" w:hAnsi="Gotham"/>
          <w:b/>
          <w:color w:val="005FA1"/>
          <w:sz w:val="30"/>
        </w:rPr>
        <w:t xml:space="preserve">Part 2 — Directors’ Report and governance (FY25 pp. 28–41)</w:t>
      </w:r>
    </w:p>
    <w:tbl>
      <w:tblPr>
        <w:tblW w:w="9638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FFFFFF"/>
          <w:insideV w:val="single" w:sz="4" w:space="0" w:color="FFFFFF"/>
        </w:tblBorders>
        <w:tblLayout w:type="fixed"/>
      </w:tblPr>
      <w:tblGrid>
        <w:gridCol w:w="2217"/>
        <w:gridCol w:w="3855"/>
        <w:gridCol w:w="3566"/>
      </w:tblGrid>
      <w:tr>
        <w:trPr>
          <w:tblHeader/>
        </w:trPr>
        <w:tc>
          <w:tcPr>
            <w:tcW w:w="2217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855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28–29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30–35</w:t>
            </w:r>
          </w:p>
        </w:tc>
        <w:tc>
          <w:tcPr>
            <w:tcW w:w="3855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36–37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38–41</w:t>
            </w:r>
          </w:p>
        </w:tc>
        <w:tc>
          <w:tcPr>
            <w:tcW w:w="3855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</w:tbl>
    <w:p>
      <w:pPr>
        <w:spacing w:after="0" w:line="120" w:lineRule="auto"/>
      </w:pPr>
    </w:p>
    <w:p>
      <w:pPr>
        <w:keepNext/>
        <w:spacing w:before="360" w:after="140" w:line="280" w:lineRule="auto"/>
      </w:pPr>
      <w:r>
        <w:rPr>
          <w:rFonts w:ascii="Gotham" w:hAnsi="Gotham"/>
          <w:b/>
          <w:color w:val="005FA1"/>
          <w:sz w:val="30"/>
        </w:rPr>
        <w:t xml:space="preserve">Part 3 — Financial statements and notes (FY25 pp. 42–84)</w:t>
      </w:r>
    </w:p>
    <w:p>
      <w:pPr>
        <w:spacing w:before="0" w:after="180" w:line="300" w:lineRule="auto"/>
      </w:pPr>
      <w:r>
        <w:rPr>
          <w:rFonts w:ascii="Gotham" w:hAnsi="Gotham"/>
          <w:color w:val="231F20"/>
          <w:sz w:val="24"/>
        </w:rPr>
        <w:t xml:space="preserve">The largest section and the one with the most rekeying: 25 tables across the four primary statements and notes 1–23, plus the Consolidated Entity Disclosure Statement. All are real InDesign tables, so I have exact cell specifications for each.</w:t>
      </w:r>
    </w:p>
    <w:tbl>
      <w:tblPr>
        <w:tblW w:w="9638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FFFFFF"/>
          <w:insideV w:val="single" w:sz="4" w:space="0" w:color="FFFFFF"/>
        </w:tblBorders>
        <w:tblLayout w:type="fixed"/>
      </w:tblPr>
      <w:tblGrid>
        <w:gridCol w:w="2217"/>
        <w:gridCol w:w="3855"/>
        <w:gridCol w:w="3566"/>
      </w:tblGrid>
      <w:tr>
        <w:trPr>
          <w:tblHeader/>
        </w:trPr>
        <w:tc>
          <w:tcPr>
            <w:tcW w:w="2217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855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005FA1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42–47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pp. 46–83</w:t>
            </w:r>
          </w:p>
        </w:tc>
        <w:tc>
          <w:tcPr>
            <w:tcW w:w="3855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shd w:val="clear" w:fill="E6EFF6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221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p. 83</w:t>
            </w:r>
          </w:p>
        </w:tc>
        <w:tc>
          <w:tcPr>
            <w:tcW w:w="385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356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</w:tbl>
    <w:p>
      <w:pPr>
        <w:spacing w:after="0" w:line="120" w:lineRule="auto"/>
      </w:pPr>
    </w:p>
    <w:p>
      <w:pPr>
        <w:keepNext/>
        <w:spacing w:before="360" w:after="140" w:line="280" w:lineRule="auto"/>
      </w:pPr>
      <w:r>
        <w:rPr>
          <w:rFonts w:ascii="Gotham" w:hAnsi="Gotham"/>
          <w:b/>
          <w:color w:val="005FA1"/>
          <w:sz w:val="30"/>
        </w:rPr>
        <w:t xml:space="preserve">Photography and imagery</w:t>
      </w:r>
    </w:p>
    <w:tbl>
      <w:tblPr>
        <w:tblW w:w="9638" w:type="dxa"/>
        <w:tblBorders>
          <w:insideH w:val="single" w:sz="4" w:space="0" w:color="C9D6E0"/>
        </w:tblBorders>
        <w:tblLayout w:type="fixed"/>
      </w:tblPr>
      <w:tblGrid>
        <w:gridCol w:w="3277"/>
        <w:gridCol w:w="6361"/>
      </w:tblGrid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</w:tbl>
    <w:p>
      <w:pPr>
        <w:spacing w:after="0" w:line="120" w:lineRule="auto"/>
      </w:pPr>
    </w:p>
    <w:p>
      <w:pPr>
        <w:keepNext/>
        <w:spacing w:before="360" w:after="140" w:line="280" w:lineRule="auto"/>
      </w:pPr>
      <w:r>
        <w:rPr>
          <w:rFonts w:ascii="Gotham" w:hAnsi="Gotham"/>
          <w:b/>
          <w:color w:val="005FA1"/>
          <w:sz w:val="30"/>
        </w:rPr>
        <w:t xml:space="preserve">What I do not need</w:t>
      </w:r>
    </w:p>
    <w:p>
      <w:pPr>
        <w:spacing w:before="0" w:after="200" w:line="300" w:lineRule="auto"/>
      </w:pPr>
      <w:r>
        <w:rPr>
          <w:rFonts w:ascii="Gotham" w:hAnsi="Gotham"/>
          <w:color w:val="231F20"/>
          <w:sz w:val="24"/>
        </w:rPr>
        <w:t xml:space="preserve">Pre-rounded or pre-formatted numbers. Variance, total or percentage columns. Charts as images — send the series and I will draw them. Copy laid out in InDesign or PowerPoint. Screenshots of tables. Anything already in one of the workbooks, sent a second time by another route: two sources for one figure is how they diverge.</w:t>
      </w:r>
    </w:p>
    <w:p>
      <w:pPr>
        <w:keepNext/>
        <w:spacing w:before="360" w:after="140" w:line="280" w:lineRule="auto"/>
      </w:pPr>
      <w:r>
        <w:rPr>
          <w:rFonts w:ascii="Gotham" w:hAnsi="Gotham"/>
          <w:b/>
          <w:color w:val="005FA1"/>
          <w:sz w:val="30"/>
        </w:rPr>
        <w:t xml:space="preserve">Open items</w:t>
      </w:r>
    </w:p>
    <w:tbl>
      <w:tblPr>
        <w:tblW w:w="9638" w:type="dxa"/>
        <w:tblBorders>
          <w:insideH w:val="single" w:sz="4" w:space="0" w:color="C9D6E0"/>
        </w:tblBorders>
        <w:tblLayout w:type="fixed"/>
      </w:tblPr>
      <w:tblGrid>
        <w:gridCol w:w="3277"/>
        <w:gridCol w:w="6361"/>
      </w:tblGrid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  <w:tr>
        <w:tc>
          <w:tcPr>
            <w:tcW w:w="327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  <w:tc>
          <w:tcPr>
            <w:tcW w:w="636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Gotham" w:hAnsi="Gotham"/>
                <w:color w:val="6D6E71"/>
                <w:sz w:val="20"/>
              </w:rPr>
              <w:t xml:space="preserve">function sub() { [native code] }</w:t>
            </w:r>
          </w:p>
        </w:tc>
      </w:tr>
    </w:tbl>
    <w:p>
      <w:pPr>
        <w:spacing w:after="0" w:line="120" w:lineRule="auto"/>
      </w:pPr>
    </w:p>
    <w:sectPr>
      <w:pgSz w:w="11906" w:h="16838"/>
      <w:pgMar w:top="1134" w:right="1134" w:bottom="1134" w:left="1134" w:header="720" w:footer="567" w:gutter="0"/>
      <w:footerReference w:type="default" r:id="rId5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C9D6E0"/>
      </w:pBdr>
      <w:tabs>
        <w:tab w:val="right" w:pos="9638"/>
      </w:tabs>
      <w:spacing w:after="0"/>
    </w:pPr>
    <w:r>
      <w:rPr>
        <w:rFonts w:ascii="Gotham" w:hAnsi="Gotham"/>
        <w:color w:val="005FA1"/>
        <w:sz w:val="18"/>
      </w:rPr>
      <w:t xml:space="preserve">FY26 ANNUAL REPORT — INPUT REGISTER</w:t>
    </w:r>
    <w:r>
      <w:tab/>
    </w:r>
    <w:r>
      <w:rPr>
        <w:rFonts w:ascii="Gotham" w:hAnsi="Gotham"/>
        <w:b/>
        <w:color w:val="005FA1"/>
        <w:sz w:val="18"/>
      </w:rPr>
      <w:t xml:space="preserve">RACING VICTORIA</w:t>
    </w:r>
  </w:p>
</w:ftr>
</file>

<file path=word/styles.xml><?xml version="1.0" encoding="utf-8"?>
<w:styles xmlns:w="http://schemas.openxmlformats.org/wordprocessingml/2006/main">
  <w:docDefaults>
    <w:rPrDefault>
      <w:rPr>
        <w:rFonts w:ascii="Gotham" w:hAnsi="Gotham" w:cs="Gotham"/>
        <w:color w:val="231F20"/>
        <w:sz w:val="24"/>
      </w:rPr>
    </w:rPrDefault>
    <w:pPrDefault>
      <w:pPr>
        <w:spacing w:after="16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footer" Target="footer1.xml"/></Relationships>
</file>