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 xml:space="preserve">Horses not Having Started for over 12 Months</w:t>
      </w:r>
    </w:p>
    <w:p>
      <w:pPr>
        <w:pStyle w:val="Heading2"/>
      </w:pPr>
      <w:r>
        <w:t xml:space="preserve">Veterinary clearance before trialing</w:t>
      </w:r>
    </w:p>
    <w:p>
      <w:pPr>
        <w:pStyle w:val="Normal"/>
      </w:pPr>
      <w:r>
        <w:t xml:space="preserve">The trainer of a horse that has not raced for 12 months or longer must under AR 88B produce to the Stewards a veterinary clearance as well as any other information, examination or report they require, from a qualified veterinary surgeon indicating that the horse is suitable to resume trialing and racing. Details of any injury or medical condition which might have caused the prolonged break from training or racing must be provided with the veterinary clearance.</w:t>
      </w:r>
    </w:p>
    <w:p>
      <w:pPr>
        <w:pStyle w:val="Normal"/>
      </w:pPr>
      <w:r>
        <w:t xml:space="preserve">Following receipt of a satisfactory veterinary clearance, the Stewards may grant written permission for the horse to be nominated for and participate in an official trial or jump out.</w:t>
      </w:r>
    </w:p>
    <w:p>
      <w:pPr>
        <w:pStyle w:val="Normal"/>
      </w:pPr>
      <w:r>
        <w:t xml:space="preserve">Please note, this veterinary clearance must be received prior to the horse performing in a jump out or trial.</w:t>
      </w:r>
    </w:p>
    <w:p>
      <w:pPr>
        <w:pStyle w:val="Heading2"/>
      </w:pPr>
      <w:r>
        <w:t xml:space="preserve">Satisfactory trial</w:t>
      </w:r>
    </w:p>
    <w:p>
      <w:pPr>
        <w:pStyle w:val="Normal"/>
      </w:pPr>
      <w:r>
        <w:t xml:space="preserve">If permission to trial is granted by the Stewards, the horse must:</w:t>
      </w:r>
    </w:p>
    <w:p>
      <w:pPr>
        <w:pStyle w:val="IRClause"/>
      </w:pPr>
      <w:r>
        <w:t xml:space="preserve">(a) participate in an official trial or jump out to the satisfaction of the Stewards; and</w:t>
      </w:r>
    </w:p>
    <w:p>
      <w:pPr>
        <w:pStyle w:val="IRClause"/>
      </w:pPr>
      <w:r>
        <w:t xml:space="preserve">(b) have a post-trial veterinary examination (conducted by a qualified veterinary surgeon) to ensure that the horse is suitable to continue its training regime.</w:t>
      </w:r>
    </w:p>
    <w:p>
      <w:pPr>
        <w:pStyle w:val="Heading2"/>
      </w:pPr>
      <w:r>
        <w:t xml:space="preserve">Permission to race</w:t>
      </w:r>
    </w:p>
    <w:p>
      <w:pPr>
        <w:pStyle w:val="Normal"/>
      </w:pPr>
      <w:r>
        <w:t xml:space="preserve">Following a satisfactory trial and upon receiving the above satisfactory post-trial veterinary examination report, the Stewards may grant written permission for the horse to be nominated for and participate in a race.</w:t>
      </w:r>
    </w:p>
    <w:p>
      <w:pPr>
        <w:pStyle w:val="Heading1"/>
      </w:pPr>
      <w:r>
        <w:t xml:space="preserve">Horses Returning from Overseas</w:t>
      </w:r>
    </w:p>
    <w:p>
      <w:pPr>
        <w:pStyle w:val="Normal"/>
      </w:pPr>
      <w:r>
        <w:t xml:space="preserve">Trainers need to be aware of AR67 regarding horses returning from overseas. If they have a horse under their care which last started at an international venue they must contact the RV Stewards or Racing Operations Departments to ensure that all previous form is updated on the Racing Australia System.</w:t>
      </w:r>
    </w:p>
    <w:p>
      <w:pPr>
        <w:pStyle w:val="Heading1"/>
      </w:pPr>
      <w:r>
        <w:t xml:space="preserve">Reporting of offensive emails</w:t>
      </w:r>
    </w:p>
    <w:p>
      <w:pPr>
        <w:pStyle w:val="Normal"/>
      </w:pPr>
      <w:r>
        <w:t xml:space="preserve">Racing Victoria Integrity Department are aware of licensed persons receiving abusive emails from punters which have been aggressive and occasionally even threatening. Recipients of these emails are encouraged in the first instance to contact the Racing Victoria Intelligence Unit at intelligenceunit@racingvictoria.net.au. The RV Intelligence Unit is keeping a log of the emails and also where possible try to identify the author (which can be very difficult due to fake names and email addresses being used), some however have been identified and as a result action has been taken against them.</w:t>
      </w:r>
    </w:p>
    <w:p>
      <w:pPr>
        <w:pStyle w:val="Normal"/>
      </w:pPr>
      <w:r>
        <w:t xml:space="preserve">In addition to the above, should an email contain threatening material or an intention to harm or damage, the recipient is strongly encouraged to contact Victoria Police directly to report the matter. Racing Victoria are unable to submit a complaint on the recipients behalf as it must be directly reported by them to Victoria Police.</w:t>
      </w:r>
    </w:p>
    <w:sectPr>
      <w:pgSz w:w="11906" w:h="16838"/>
      <w:pgMar w:top="1134" w:right="1134" w:bottom="1134" w:left="1134"/>
    </w:sectPr>
  </w:body>
</w:document>
</file>

<file path=word/styles.xml><?xml version="1.0" encoding="utf-8"?>
<w:styles xmlns:w="http://schemas.openxmlformats.org/wordprocessingml/2006/main">
  <w:style w:type="paragraph" w:default="1" w:styleId="Normal">
    <w:name w:val="Normal"/>
    <w:rPr>
      <w:sz w:val="20"/>
    </w:rPr>
  </w:style>
  <w:style w:type="paragraph" w:styleId="Heading1">
    <w:name w:val="heading 1"/>
    <w:basedOn w:val="Normal"/>
    <w:pPr>
      <w:spacing w:before="280" w:after="120"/>
      <w:outlineLvl w:val="0"/>
    </w:pPr>
    <w:rPr>
      <w:b/>
      <w:sz w:val="32"/>
    </w:rPr>
  </w:style>
  <w:style w:type="paragraph" w:styleId="Heading2">
    <w:name w:val="heading 2"/>
    <w:basedOn w:val="Normal"/>
    <w:pPr>
      <w:spacing w:before="200" w:after="80"/>
      <w:outlineLvl w:val="1"/>
    </w:pPr>
    <w:rPr>
      <w:b/>
      <w:sz w:val="22"/>
    </w:rPr>
  </w:style>
  <w:style w:type="paragraph" w:styleId="IRStep">
    <w:name w:val="IR Step"/>
    <w:basedOn w:val="Normal"/>
    <w:pPr>
      <w:ind w:left="340" w:hanging="340"/>
      <w:spacing w:after="80"/>
    </w:pPr>
  </w:style>
  <w:style w:type="paragraph" w:styleId="IRClause">
    <w:name w:val="IR Clause"/>
    <w:basedOn w:val="Normal"/>
    <w:pPr>
      <w:ind w:left="340"/>
      <w:spacing w:after="80"/>
    </w:pPr>
  </w:style>
  <w:style w:type="paragraph" w:styleId="IRBullet">
    <w:name w:val="IR Bullet"/>
    <w:basedOn w:val="Normal"/>
    <w:pPr>
      <w:ind w:left="280" w:hanging="280"/>
      <w:spacing w:after="80"/>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