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Bdr>
          <w:bottom w:val="single" w:sz="12" w:color="10233F"/>
        </w:pBdr>
        <w:spacing w:after="240"/>
      </w:pPr>
      <w:r>
        <w:rPr>
          <w:rFonts w:ascii="Calibri" w:hAnsi="Calibri"/>
          <w:b/>
          <w:color w:val="10233F"/>
          <w:sz w:val="16"/>
        </w:rPr>
        <w:t xml:space="preserve">INSIDE RACING — INPUT SOURCE WORKSHEET</w:t>
      </w:r>
      <w:r>
        <w:rPr>
          <w:rFonts w:ascii="Calibri" w:hAnsi="Calibri"/>
          <w:color w:val="6B6F76"/>
          <w:sz w:val="16"/>
        </w:rPr>
        <w:t xml:space="preserve">     Draft 1 · to be completed with section owners</w:t>
      </w:r>
    </w:p>
    <w:p>
      <w:pPr>
        <w:spacing w:after="160"/>
      </w:pPr>
      <w:r>
        <w:rPr>
          <w:rFonts w:ascii="Calibri" w:hAnsi="Calibri"/>
          <w:b/>
          <w:color w:val="10233F"/>
          <w:sz w:val="44"/>
        </w:rPr>
        <w:t xml:space="preserve">Sections requiring an input source</w:t>
      </w:r>
    </w:p>
    <w:p>
      <w:pPr>
        <w:spacing w:before="0" w:after="240" w:line="264" w:lineRule="auto"/>
        <w:jc w:val="left"/>
      </w:pPr>
      <w:r>
        <w:rPr>
          <w:rFonts w:ascii="Calibri" w:hAnsi="Calibri"/>
          <w:color w:val="3D424A"/>
          <w:sz w:val="22"/>
        </w:rPr>
        <w:t xml:space="preserve">Every content block in the August 2026 edition, with the data each one needs. The right-hand columns are deliberately blank — they are what we need to establish. Static pages are listed last and need a review owner rather than a monthly source.</w:t>
      </w:r>
    </w:p>
    <w:p>
      <w:pPr>
        <w:spacing w:before="360" w:after="120"/>
      </w:pPr>
      <w:r>
        <w:rPr>
          <w:rFonts w:ascii="Calibri" w:hAnsi="Calibri"/>
          <w:b/>
          <w:color w:val="8A2B23"/>
          <w:sz w:val="22"/>
        </w:rPr>
        <w:t xml:space="preserve">A. PROGRAM-DERIVED — ONE DATASET, THREE RENDERINGS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B1D21"/>
          <w:sz w:val="20"/>
        </w:rPr>
        <w:t xml:space="preserve">These four blocks should resolve to a single source. If they don't today, that is the first thing to fix.</w:t>
      </w:r>
    </w:p>
    <w:tbl>
      <w:tblPr>
        <w:tblW w:w="12370" w:type="dxa"/>
        <w:tblBorders>
          <w:top w:val="single" w:sz="4" w:color="DDD8CE"/>
          <w:left w:val="none" w:sz="0" w:color="auto"/>
          <w:bottom w:val="single" w:sz="4" w:color="DDD8CE"/>
          <w:right w:val="none" w:sz="0" w:color="auto"/>
          <w:insideH w:val="single" w:sz="4" w:color="DDD8CE"/>
          <w:insideV w:val="none" w:sz="0" w:color="auto"/>
        </w:tblBorders>
        <w:tblLayout w:type="fixed"/>
      </w:tblPr>
      <w:tblGrid>
        <w:gridCol w:w="1900"/>
        <w:gridCol w:w="620"/>
        <w:gridCol w:w="4400"/>
        <w:gridCol w:w="1750"/>
        <w:gridCol w:w="1200"/>
        <w:gridCol w:w="1200"/>
        <w:gridCol w:w="1300"/>
      </w:tblGrid>
      <w:tr>
        <w:trPr>
          <w:tblHeader/>
        </w:trPr>
        <w:tc>
          <w:tcPr>
            <w:tcW w:w="19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Section</w:t>
            </w:r>
          </w:p>
        </w:tc>
        <w:tc>
          <w:tcPr>
            <w:tcW w:w="62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Pages</w:t>
            </w:r>
          </w:p>
        </w:tc>
        <w:tc>
          <w:tcPr>
            <w:tcW w:w="44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 it needs</w:t>
            </w:r>
          </w:p>
        </w:tc>
        <w:tc>
          <w:tcPr>
            <w:tcW w:w="175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Source system / file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Format</w:t>
            </w:r>
          </w:p>
        </w:tc>
        <w:tc>
          <w:tcPr>
            <w:tcW w:w="13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Available when</w:t>
            </w: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Dates for entries, acceptances, riders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3–4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Per-meeting entry, acceptance and riders deadline date and time; feature race entry dates; N/C and Q/C markers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Programs summary chart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5–25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Every race with class band, distance, prizemoney, venue, date; class-band definitions for the column headings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Race programs — metro and country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26–46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Full race conditions: name, type, weights, ballot conditions, sex and age restrictions, VOBIS flags, prizemoney breakdown, nomination and acceptance fees, track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Jumps program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49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Hurdle and steeple races in the period, plus jumps trial dates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before="0" w:after="120" w:line="264" w:lineRule="auto"/>
        <w:jc w:val="left"/>
      </w:pPr>
    </w:p>
    <w:p>
      <w:pPr>
        <w:spacing w:before="360" w:after="120"/>
      </w:pPr>
      <w:r>
        <w:rPr>
          <w:rFonts w:ascii="Calibri" w:hAnsi="Calibri"/>
          <w:b/>
          <w:color w:val="8A2B23"/>
          <w:sz w:val="22"/>
        </w:rPr>
        <w:t xml:space="preserve">B. SEPARATE FEEDS</w:t>
      </w:r>
    </w:p>
    <w:tbl>
      <w:tblPr>
        <w:tblW w:w="12370" w:type="dxa"/>
        <w:tblBorders>
          <w:top w:val="single" w:sz="4" w:color="DDD8CE"/>
          <w:left w:val="none" w:sz="0" w:color="auto"/>
          <w:bottom w:val="single" w:sz="4" w:color="DDD8CE"/>
          <w:right w:val="none" w:sz="0" w:color="auto"/>
          <w:insideH w:val="single" w:sz="4" w:color="DDD8CE"/>
          <w:insideV w:val="none" w:sz="0" w:color="auto"/>
        </w:tblBorders>
        <w:tblLayout w:type="fixed"/>
      </w:tblPr>
      <w:tblGrid>
        <w:gridCol w:w="1900"/>
        <w:gridCol w:w="620"/>
        <w:gridCol w:w="4400"/>
        <w:gridCol w:w="1750"/>
        <w:gridCol w:w="1200"/>
        <w:gridCol w:w="1200"/>
        <w:gridCol w:w="1300"/>
      </w:tblGrid>
      <w:tr>
        <w:trPr>
          <w:tblHeader/>
        </w:trPr>
        <w:tc>
          <w:tcPr>
            <w:tcW w:w="19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Section</w:t>
            </w:r>
          </w:p>
        </w:tc>
        <w:tc>
          <w:tcPr>
            <w:tcW w:w="62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Pages</w:t>
            </w:r>
          </w:p>
        </w:tc>
        <w:tc>
          <w:tcPr>
            <w:tcW w:w="44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Data it needs</w:t>
            </w:r>
          </w:p>
        </w:tc>
        <w:tc>
          <w:tcPr>
            <w:tcW w:w="175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Source system / file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Format</w:t>
            </w:r>
          </w:p>
        </w:tc>
        <w:tc>
          <w:tcPr>
            <w:tcW w:w="13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Available when</w:t>
            </w: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Permits to ride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47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Riders holding permits, with conditions and expiry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Eligible to ride in official trials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47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Apprentice and rider eligibility list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Riders' agents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48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Agent names, contact numbers, riders represented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Jump-outs schedule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50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Dates and venues, two months ahead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Official flat trials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50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Dates, venues, entry arrangements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Victorian Race Series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51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Series in force, heats and finals with dates and venues, qualification rules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before="0" w:after="120" w:line="264" w:lineRule="auto"/>
        <w:jc w:val="left"/>
      </w:pPr>
    </w:p>
    <w:p>
      <w:pPr>
        <w:spacing w:before="360" w:after="120"/>
      </w:pPr>
      <w:r>
        <w:rPr>
          <w:rFonts w:ascii="Calibri" w:hAnsi="Calibri"/>
          <w:b/>
          <w:color w:val="8A2B23"/>
          <w:sz w:val="22"/>
        </w:rPr>
        <w:t xml:space="preserve">C. AUTHORED EACH MONTH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B1D21"/>
          <w:sz w:val="20"/>
        </w:rPr>
        <w:t xml:space="preserve">No data source — these need a writer, an approver and a deadline instead.</w:t>
      </w:r>
    </w:p>
    <w:tbl>
      <w:tblPr>
        <w:tblW w:w="12370" w:type="dxa"/>
        <w:tblBorders>
          <w:top w:val="single" w:sz="4" w:color="DDD8CE"/>
          <w:left w:val="none" w:sz="0" w:color="auto"/>
          <w:bottom w:val="single" w:sz="4" w:color="DDD8CE"/>
          <w:right w:val="none" w:sz="0" w:color="auto"/>
          <w:insideH w:val="single" w:sz="4" w:color="DDD8CE"/>
          <w:insideV w:val="none" w:sz="0" w:color="auto"/>
        </w:tblBorders>
        <w:tblLayout w:type="fixed"/>
      </w:tblPr>
      <w:tblGrid>
        <w:gridCol w:w="1900"/>
        <w:gridCol w:w="620"/>
        <w:gridCol w:w="4400"/>
        <w:gridCol w:w="1750"/>
        <w:gridCol w:w="1200"/>
        <w:gridCol w:w="1200"/>
        <w:gridCol w:w="1300"/>
      </w:tblGrid>
      <w:tr>
        <w:trPr>
          <w:tblHeader/>
        </w:trPr>
        <w:tc>
          <w:tcPr>
            <w:tcW w:w="19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Section</w:t>
            </w:r>
          </w:p>
        </w:tc>
        <w:tc>
          <w:tcPr>
            <w:tcW w:w="62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Pages</w:t>
            </w:r>
          </w:p>
        </w:tc>
        <w:tc>
          <w:tcPr>
            <w:tcW w:w="44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What has to be decided</w:t>
            </w:r>
          </w:p>
        </w:tc>
        <w:tc>
          <w:tcPr>
            <w:tcW w:w="175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Approver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Copy due</w:t>
            </w:r>
          </w:p>
        </w:tc>
        <w:tc>
          <w:tcPr>
            <w:tcW w:w="13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Cover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1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Month, image, cover lines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Contents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2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Nothing — page numbers follow from the assembled edition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Industry notice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52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Which notice runs, if any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From the Stewards' Room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53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Items selected, plus any rule amendments to reproduce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before="0" w:after="120" w:line="264" w:lineRule="auto"/>
        <w:jc w:val="left"/>
      </w:pPr>
    </w:p>
    <w:p>
      <w:pPr>
        <w:spacing w:before="360" w:after="120"/>
      </w:pPr>
      <w:r>
        <w:rPr>
          <w:rFonts w:ascii="Calibri" w:hAnsi="Calibri"/>
          <w:b/>
          <w:color w:val="8A2B23"/>
          <w:sz w:val="22"/>
        </w:rPr>
        <w:t xml:space="preserve">D. STANDING CONTENT — NEEDS A REVIEW DATE, NOT A MONTHLY INPUT</w:t>
      </w:r>
    </w:p>
    <w:tbl>
      <w:tblPr>
        <w:tblW w:w="12370" w:type="dxa"/>
        <w:tblBorders>
          <w:top w:val="single" w:sz="4" w:color="DDD8CE"/>
          <w:left w:val="none" w:sz="0" w:color="auto"/>
          <w:bottom w:val="single" w:sz="4" w:color="DDD8CE"/>
          <w:right w:val="none" w:sz="0" w:color="auto"/>
          <w:insideH w:val="single" w:sz="4" w:color="DDD8CE"/>
          <w:insideV w:val="none" w:sz="0" w:color="auto"/>
        </w:tblBorders>
        <w:tblLayout w:type="fixed"/>
      </w:tblPr>
      <w:tblGrid>
        <w:gridCol w:w="1900"/>
        <w:gridCol w:w="620"/>
        <w:gridCol w:w="4400"/>
        <w:gridCol w:w="1750"/>
        <w:gridCol w:w="1200"/>
        <w:gridCol w:w="1200"/>
        <w:gridCol w:w="1300"/>
      </w:tblGrid>
      <w:tr>
        <w:trPr>
          <w:tblHeader/>
        </w:trPr>
        <w:tc>
          <w:tcPr>
            <w:tcW w:w="19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62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Pages</w:t>
            </w:r>
          </w:p>
        </w:tc>
        <w:tc>
          <w:tcPr>
            <w:tcW w:w="44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Content</w:t>
            </w:r>
          </w:p>
        </w:tc>
        <w:tc>
          <w:tcPr>
            <w:tcW w:w="175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Last reviewed</w:t>
            </w:r>
          </w:p>
        </w:tc>
        <w:tc>
          <w:tcPr>
            <w:tcW w:w="12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Next review</w:t>
            </w:r>
          </w:p>
        </w:tc>
        <w:tc>
          <w:tcPr>
            <w:tcW w:w="1300" w:type="dxa"/>
            <w:shd w:val="clear" w:fill="10233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Notes</w:t>
            </w: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Stableline notice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2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Contact and service details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Jumps prizemoney breakdown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49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Fixed placing table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Division of races policy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50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Policy text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HR Assist notice</w:t>
            </w:r>
          </w:p>
        </w:tc>
        <w:tc>
          <w:tcPr>
            <w:tcW w:w="62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54</w:t>
            </w:r>
          </w:p>
        </w:tc>
        <w:tc>
          <w:tcPr>
            <w:tcW w:w="44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Service details</w:t>
            </w:r>
          </w:p>
        </w:tc>
        <w:tc>
          <w:tcPr>
            <w:tcW w:w="175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shd w:val="clear" w:fill="FAF8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w="1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Remaining notices and back cover</w:t>
            </w:r>
          </w:p>
        </w:tc>
        <w:tc>
          <w:tcPr>
            <w:tcW w:w="62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55–56</w:t>
            </w:r>
          </w:p>
        </w:tc>
        <w:tc>
          <w:tcPr>
            <w:tcW w:w="44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B1D21"/>
                <w:sz w:val="17"/>
              </w:rPr>
              <w:t xml:space="preserve">Standing advertising and contact panel</w:t>
            </w:r>
          </w:p>
        </w:tc>
        <w:tc>
          <w:tcPr>
            <w:tcW w:w="175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2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  <w:tc>
          <w:tcPr>
            <w:tcW w:w="13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before="0" w:after="120" w:line="264" w:lineRule="auto"/>
        <w:jc w:val="left"/>
      </w:pPr>
    </w:p>
    <w:p>
      <w:pPr>
        <w:spacing w:before="360" w:after="120"/>
      </w:pPr>
      <w:r>
        <w:rPr>
          <w:rFonts w:ascii="Calibri" w:hAnsi="Calibri"/>
          <w:b/>
          <w:color w:val="8A2B23"/>
          <w:sz w:val="22"/>
        </w:rPr>
        <w:t xml:space="preserve">TWO QUESTIONS TO SETTLE FIRST</w:t>
      </w:r>
    </w:p>
    <w:p>
      <w:pPr>
        <w:spacing w:after="120"/>
      </w:pPr>
      <w:r>
        <w:rPr>
          <w:rFonts w:ascii="Calibri" w:hAnsi="Calibri"/>
          <w:b/>
          <w:color w:val="1B1D21"/>
          <w:sz w:val="20"/>
        </w:rPr>
        <w:t xml:space="preserve">Do the four blocks in group A come off one source? </w:t>
      </w:r>
      <w:r>
        <w:rPr>
          <w:rFonts w:ascii="Calibri" w:hAnsi="Calibri"/>
          <w:color w:val="1B1D21"/>
          <w:sz w:val="20"/>
        </w:rPr>
        <w:t xml:space="preserve">Deadlines appear in all of pages 3–4, 5–25 and 26–46. If they are keyed or exported separately, that is where errors will be.</w:t>
      </w:r>
    </w:p>
    <w:p>
      <w:pPr>
        <w:spacing w:after="240"/>
      </w:pPr>
      <w:r>
        <w:rPr>
          <w:rFonts w:ascii="Calibri" w:hAnsi="Calibri"/>
          <w:b/>
          <w:color w:val="1B1D21"/>
          <w:sz w:val="20"/>
        </w:rPr>
        <w:t xml:space="preserve">What horizon does each section cover? </w:t>
      </w:r>
      <w:r>
        <w:rPr>
          <w:rFonts w:ascii="Calibri" w:hAnsi="Calibri"/>
          <w:color w:val="1B1D21"/>
          <w:sz w:val="20"/>
        </w:rPr>
        <w:t xml:space="preserve">In the August edition the summary chart runs to late October but the detailed programs stop in early October. If that is a rule rather than a monthly call, it should be recorded here.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6B6F76"/>
          <w:sz w:val="16"/>
        </w:rPr>
        <w:t xml:space="preserve">Sections and page numbers taken from the August 2026 edition. Groupings are proposed.</w:t>
      </w:r>
    </w:p>
    <w:sectPr>
      <w:pgSz w:w="15840" w:h="12240" w:orient="landscape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