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ustom.xml" ContentType="application/vnd.openxmlformats-officedocument.custom-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custom-properties" Target="docProps/custom.xml"/></Relationships>
</file>

<file path=word/document.xml><?xml version="1.0" encoding="utf-8"?>
<w:document xmlns:w="http://schemas.openxmlformats.org/wordprocessingml/2006/main">
  <w:body>
    <w:p>
      <w:pPr>
        <w:pStyle w:val="Heading1"/>
      </w:pPr>
      <w:r>
        <w:t xml:space="preserve">AR 79 HORSES WITH BLEEDING</w:t>
      </w:r>
    </w:p>
    <w:p>
      <w:pPr>
        <w:pStyle w:val="IRClause"/>
      </w:pPr>
      <w:r>
        <w:t xml:space="preserve">(1) The appearance of blood at both nostrils, irrespective of quantity, is deemed to constitute an attack of bleeding unless, in the opinion of the Stewards, that bleeding was caused by external trauma.</w:t>
      </w:r>
    </w:p>
    <w:p>
      <w:pPr>
        <w:pStyle w:val="IRClause"/>
      </w:pPr>
      <w:r>
        <w:t xml:space="preserve">(2) If a horse has an attack of bleeding at any time it must be reported by the trainer to the Stewards without delay.</w:t>
      </w:r>
    </w:p>
    <w:p>
      <w:pPr>
        <w:pStyle w:val="IRClause"/>
      </w:pPr>
      <w:r>
        <w:t xml:space="preserve">(3) If a PRA advises in writing that a horse has had an attack of bleeding, that advice will be prima facie evidence that that horse has had an attack of bleeding.</w:t>
      </w:r>
    </w:p>
    <w:p>
      <w:pPr>
        <w:pStyle w:val="IRClause"/>
      </w:pPr>
      <w:r>
        <w:t xml:space="preserve">(4) A horse which, in the opinion of the Stewards, has had an attack of bleeding;</w:t>
      </w:r>
    </w:p>
    <w:p>
      <w:pPr>
        <w:pStyle w:val="IRClause"/>
      </w:pPr>
      <w:r>
        <w:t xml:space="preserve">(a) for a period of 2 months after the attack of bleeding, must not, without the permission of the Stewards, be trained, exercised or galloped on a racecourse, recognised training track, private training establishment, or other place;</w:t>
      </w:r>
    </w:p>
    <w:p>
      <w:pPr>
        <w:pStyle w:val="IRClause"/>
      </w:pPr>
      <w:r>
        <w:t xml:space="preserve">(b) must not start in any race for a period of 3 months, and then only after:</w:t>
      </w:r>
    </w:p>
    <w:p>
      <w:pPr>
        <w:pStyle w:val="IRClause"/>
      </w:pPr>
      <w:r>
        <w:t xml:space="preserve">(i) a gallop of at least 1,000 metres; or</w:t>
      </w:r>
    </w:p>
    <w:p>
      <w:pPr>
        <w:pStyle w:val="IRClause"/>
      </w:pPr>
      <w:r>
        <w:t xml:space="preserve">(ii) an official trial or jump-out:</w:t>
      </w:r>
    </w:p>
    <w:p>
      <w:pPr>
        <w:pStyle w:val="IRClause"/>
      </w:pPr>
      <w:r>
        <w:t xml:space="preserve">in the presence, and to the satisfaction of a Steward.</w:t>
      </w:r>
    </w:p>
    <w:p>
      <w:pPr>
        <w:pStyle w:val="IRClause"/>
      </w:pPr>
      <w:r>
        <w:t xml:space="preserve">(5) Following a horse having an attack of bleeding the Stewards must:</w:t>
      </w:r>
    </w:p>
    <w:p>
      <w:pPr>
        <w:pStyle w:val="IRClause"/>
      </w:pPr>
      <w:r>
        <w:t xml:space="preserve">(a) retain a written record of the attack of bleeding and any related restriction imposed on the horse (and if applicable, also record that attack of bleeding and any restriction imposed in the horse’s Thoroughbred Identification Card, which must be provided by the trainer to the Stewards as soon as possible after the attack of bleeding); and</w:t>
      </w:r>
    </w:p>
    <w:p>
      <w:pPr>
        <w:pStyle w:val="IRClause"/>
      </w:pPr>
      <w:r>
        <w:t xml:space="preserve">(b) record any subsequent permission given for the horse to resume racing (and if applicable, also record that on the horse’s Thoroughbred Identification Card, which must be provided by the trainer to the Stewards as soon as possible).</w:t>
      </w:r>
    </w:p>
    <w:p>
      <w:pPr>
        <w:pStyle w:val="IRClause"/>
      </w:pPr>
      <w:r>
        <w:t xml:space="preserve">(6) If a horse has more than one attack of bleeding, the horse is ineligible to start in any race.</w:t>
      </w:r>
    </w:p>
    <w:p>
      <w:pPr>
        <w:pStyle w:val="IRClause"/>
      </w:pPr>
      <w:r>
        <w:t xml:space="preserve">(7) If a horse displays blood at one nostril, the trainer must report that to the Stewards without delay.</w:t>
      </w:r>
    </w:p>
    <w:p>
      <w:pPr>
        <w:pStyle w:val="IRClause"/>
      </w:pPr>
      <w:r>
        <w:t xml:space="preserve">(8) Unless the Stewards are satisfied that the presence of blood referred to in subrule (7) is attributable to external trauma, then before racing again the horse is required to</w:t>
      </w:r>
    </w:p>
    <w:p>
      <w:pPr>
        <w:pStyle w:val="IRClause"/>
      </w:pPr>
      <w:r>
        <w:t xml:space="preserve">(a) Undergo a gallop of at least 1,000 metres; or</w:t>
      </w:r>
    </w:p>
    <w:p>
      <w:pPr>
        <w:pStyle w:val="IRClause"/>
      </w:pPr>
      <w:r>
        <w:t xml:space="preserve">(b) participate in an official trial or jump-out; in the presence, and to the satisfaction of a Steward.</w:t>
      </w:r>
    </w:p>
    <w:p>
      <w:pPr>
        <w:pStyle w:val="Heading1"/>
      </w:pPr>
      <w:r>
        <w:t xml:space="preserve">EMBARGOES AND VETERINARY CERTIFICATES</w:t>
      </w:r>
    </w:p>
    <w:p>
      <w:pPr>
        <w:pStyle w:val="Normal"/>
      </w:pPr>
      <w:r>
        <w:t xml:space="preserve">Trainers are reminded to ensure that any embargo or veterinary certificate which has been placed on a runner in their care has been lifted or submitted prior to accepting for any future race. If you have any queries, please contact the RV Stewards Department on 03 92584258.</w:t>
      </w:r>
    </w:p>
    <w:p>
      <w:pPr>
        <w:pStyle w:val="Heading1"/>
      </w:pPr>
      <w:r>
        <w:t xml:space="preserve">USE OF PHONE IN MOUNTING YARD PROHIBITED</w:t>
      </w:r>
    </w:p>
    <w:p>
      <w:pPr>
        <w:pStyle w:val="Normal"/>
      </w:pPr>
      <w:r>
        <w:t xml:space="preserve">Trainers and their representatives are reminded that they must restrict recording of riders’ post-race comments to areas outside horse confines of mounting yard when horses return after race.</w:t>
      </w:r>
    </w:p>
    <w:p>
      <w:pPr>
        <w:pStyle w:val="Heading1"/>
      </w:pPr>
      <w:r>
        <w:t xml:space="preserve">STABLE EMPLOYEE REGISTRATIONS</w:t>
      </w:r>
    </w:p>
    <w:p>
      <w:pPr>
        <w:pStyle w:val="Normal"/>
      </w:pPr>
      <w:r>
        <w:t xml:space="preserve">Trainers, please be aware, that it is their responsibility to ensure all their stable staff have up to date Stable Employee registrations for the new season. Stewards will be conducting regular checks to ensure all registrations are up to date.</w:t>
      </w:r>
    </w:p>
    <w:p>
      <w:pPr>
        <w:pStyle w:val="Heading1"/>
      </w:pPr>
      <w:r>
        <w:t xml:space="preserve">LR 74A PROCEDURE FOR HORSES CARRYING OVERWEIGHT IN FLAT RACES</w:t>
      </w:r>
    </w:p>
    <w:p>
      <w:pPr>
        <w:pStyle w:val="Normal"/>
      </w:pPr>
      <w:r>
        <w:t xml:space="preserve">Trainers and riders should now be aware of the following rule amendment which came into effect from 1 June 2025 regarding the procedure for horses carrying overweight in flat races. Previously, the process for managing rider overweights between acceptance time and race day lacked consistency across meetings and administrative clarity for participants and officials. This resulted in confusion, late changes, and perceived inequity. Consultation was undertaken with both the Victorian Jockeys Association (VJA) and the Australian Trainers’ Association (ATA) and both stakeholder groups are supportive of the below rule amendments and its intended implementation. Additionally, a Board endorsed trial period was successfully conducted which demonstrated the effectiveness in streamlining processes and ensuring fairness. Following this trial period, feedback from stakeholders was positive and accordingly, The Racing Victoria Board has approved the following Local Rule of Racing amendments effective from 1 June 2025.</w:t>
      </w:r>
    </w:p>
    <w:p>
      <w:pPr>
        <w:pStyle w:val="Heading1"/>
      </w:pPr>
      <w:r>
        <w:t xml:space="preserve">LR 74A PROCEDURE FOR HORSES CARRYING OVERWEIGHT IN FLAT RACES</w:t>
      </w:r>
    </w:p>
    <w:p>
      <w:pPr>
        <w:pStyle w:val="IRClause"/>
      </w:pPr>
      <w:r>
        <w:t xml:space="preserve">(1) Subject to the approval of the nominator or trainer of a horse engaged to race at a Victorian race meeting, a rider, excluding apprentice jockeys, may:</w:t>
      </w:r>
    </w:p>
    <w:p>
      <w:pPr>
        <w:pStyle w:val="IRClause"/>
      </w:pPr>
      <w:r>
        <w:t xml:space="preserve">a. declare up to 1kg overweight from the handicapped weight released at acceptances, provided that such declaration must be made by no later than 2:00pm on the day of acceptances.</w:t>
      </w:r>
    </w:p>
    <w:p>
      <w:pPr>
        <w:pStyle w:val="IRClause"/>
      </w:pPr>
      <w:r>
        <w:t xml:space="preserve">(2) If an overweight declaration is made, that declared weight will be published as the probable weight, with the weight confirmed at the time of weighing out for such race.</w:t>
      </w:r>
    </w:p>
    <w:p>
      <w:pPr>
        <w:pStyle w:val="IRClause"/>
      </w:pPr>
      <w:r>
        <w:t xml:space="preserve">(3) In accordance with LR 42, an apprentice jockey is not permitted to make an overweight declaration.</w:t>
      </w:r>
    </w:p>
    <w:p>
      <w:pPr>
        <w:pStyle w:val="IRClause"/>
      </w:pPr>
      <w:r>
        <w:t xml:space="preserve">(4) A claiming apprentice jockey may only replace the overweight rider on race day if no other rider is available to ride at the handicapped weight.</w:t>
      </w:r>
    </w:p>
    <w:p>
      <w:pPr>
        <w:pStyle w:val="IRClause"/>
      </w:pPr>
      <w:r>
        <w:t xml:space="preserve">(5) No overweight approvals will be granted for any rider declared to ride at a horse’s true weight (Saturday Metropolitan Meetings only).</w:t>
      </w:r>
    </w:p>
    <w:p>
      <w:pPr>
        <w:pStyle w:val="IRClause"/>
      </w:pPr>
      <w:r>
        <w:t xml:space="preserve">(6) Subject to LR 74A (1)(a), the Stewards will not permit a rider to ride overweight except with the permission of the Stewards which may be granted only in special circumstances.</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0"/>
    </w:rPr>
  </w:style>
  <w:style w:type="paragraph" w:styleId="Heading1">
    <w:name w:val="heading 1"/>
    <w:basedOn w:val="Normal"/>
    <w:pPr>
      <w:spacing w:before="280" w:after="120"/>
      <w:outlineLvl w:val="0"/>
    </w:pPr>
    <w:rPr>
      <w:b/>
      <w:sz w:val="32"/>
    </w:rPr>
  </w:style>
  <w:style w:type="paragraph" w:styleId="Heading2">
    <w:name w:val="heading 2"/>
    <w:basedOn w:val="Normal"/>
    <w:pPr>
      <w:spacing w:before="200" w:after="80"/>
      <w:outlineLvl w:val="1"/>
    </w:pPr>
    <w:rPr>
      <w:b/>
      <w:sz w:val="22"/>
    </w:rPr>
  </w:style>
  <w:style w:type="paragraph" w:styleId="IRStep">
    <w:name w:val="IR Step"/>
    <w:basedOn w:val="Normal"/>
    <w:pPr>
      <w:ind w:left="340" w:hanging="340"/>
      <w:spacing w:after="80"/>
    </w:pPr>
  </w:style>
  <w:style w:type="paragraph" w:styleId="IRClause">
    <w:name w:val="IR Clause"/>
    <w:basedOn w:val="Normal"/>
    <w:pPr>
      <w:ind w:left="340"/>
      <w:spacing w:after="80"/>
    </w:pPr>
  </w:style>
  <w:style w:type="paragraph" w:styleId="IRBullet">
    <w:name w:val="IR Bullet"/>
    <w:basedOn w:val="Normal"/>
    <w:pPr>
      <w:ind w:left="280" w:hanging="280"/>
      <w:spacing w:after="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ustom.xml><?xml version="1.0" encoding="utf-8"?>
<Properties xmlns="http://schemas.openxmlformats.org/officeDocument/2006/custom-properties" xmlns:vt="http://schemas.openxmlformats.org/officeDocument/2006/docPropsVTypes">
  <property fmtid="{D5CDD505-2E9C-101B-9397-08002B2CF9AE}" pid="2" name="MSIP_Label_8aa9c153-d7ee-40b8-a677-241813e399e1_Enabled">
    <vt:lpwstr>true</vt:lpwstr>
  </property>
  <property fmtid="{D5CDD505-2E9C-101B-9397-08002B2CF9AE}" pid="3" name="MSIP_Label_8aa9c153-d7ee-40b8-a677-241813e399e1_SetDate">
    <vt:lpwstr>2026-09-16T00:51:55Z</vt:lpwstr>
  </property>
  <property fmtid="{D5CDD505-2E9C-101B-9397-08002B2CF9AE}" pid="4" name="MSIP_Label_8aa9c153-d7ee-40b8-a677-241813e399e1_Method">
    <vt:lpwstr>Standard</vt:lpwstr>
  </property>
  <property fmtid="{D5CDD505-2E9C-101B-9397-08002B2CF9AE}" pid="5" name="MSIP_Label_8aa9c153-d7ee-40b8-a677-241813e399e1_Name">
    <vt:lpwstr>Restricted</vt:lpwstr>
  </property>
  <property fmtid="{D5CDD505-2E9C-101B-9397-08002B2CF9AE}" pid="6" name="MSIP_Label_8aa9c153-d7ee-40b8-a677-241813e399e1_SiteId">
    <vt:lpwstr>2fc24401-21a6-4a14-be6a-6d11244d59ff</vt:lpwstr>
  </property>
  <property fmtid="{D5CDD505-2E9C-101B-9397-08002B2CF9AE}" pid="7" name="MSIP_Label_8aa9c153-d7ee-40b8-a677-241813e399e1_ActionId">
    <vt:lpwstr>ba2ae458-2b80-4c32-91b0-a3a9d8d8c625</vt:lpwstr>
  </property>
  <property fmtid="{D5CDD505-2E9C-101B-9397-08002B2CF9AE}" pid="8" name="MSIP_Label_8aa9c153-d7ee-40b8-a677-241813e399e1_ContentBits">
    <vt:lpwstr>0</vt:lpwstr>
  </property>
</Properties>
</file>