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023A18" w14:textId="41AE792C" w:rsidR="000F6124" w:rsidRPr="00C3475F" w:rsidRDefault="00E46E29">
      <w:pPr>
        <w:rPr>
          <w:b/>
          <w:bCs/>
        </w:rPr>
      </w:pPr>
      <w:r w:rsidRPr="00C3475F">
        <w:rPr>
          <w:b/>
          <w:bCs/>
        </w:rPr>
        <w:t xml:space="preserve">Cunningham </w:t>
      </w:r>
      <w:r w:rsidR="000F6124" w:rsidRPr="00C3475F">
        <w:rPr>
          <w:b/>
          <w:bCs/>
        </w:rPr>
        <w:t>Checklist</w:t>
      </w:r>
    </w:p>
    <w:p w14:paraId="375DC17E" w14:textId="18D30918" w:rsidR="00352BD9" w:rsidRDefault="00D5623D" w:rsidP="00D5623D">
      <w:pPr>
        <w:pStyle w:val="ListParagraph"/>
        <w:numPr>
          <w:ilvl w:val="0"/>
          <w:numId w:val="2"/>
        </w:numPr>
      </w:pPr>
      <w:r>
        <w:t xml:space="preserve">Define the target </w:t>
      </w:r>
      <w:proofErr w:type="spellStart"/>
      <w:r>
        <w:t>estimand</w:t>
      </w:r>
      <w:proofErr w:type="spellEnd"/>
      <w:r>
        <w:t>.</w:t>
      </w:r>
    </w:p>
    <w:p w14:paraId="5D685F4B" w14:textId="1800307D" w:rsidR="00D5623D" w:rsidRDefault="00D5623D" w:rsidP="00D5623D">
      <w:pPr>
        <w:pStyle w:val="ListParagraph"/>
        <w:numPr>
          <w:ilvl w:val="1"/>
          <w:numId w:val="2"/>
        </w:numPr>
      </w:pPr>
      <w:r>
        <w:t xml:space="preserve">All causal </w:t>
      </w:r>
      <w:proofErr w:type="spellStart"/>
      <w:r>
        <w:t>estimands</w:t>
      </w:r>
      <w:proofErr w:type="spellEnd"/>
      <w:r>
        <w:t xml:space="preserve"> should be able to be expressed using treatment effects notation (e.g., Y(1)-</w:t>
      </w:r>
      <w:proofErr w:type="gramStart"/>
      <w:r>
        <w:t>Y(</w:t>
      </w:r>
      <w:proofErr w:type="gramEnd"/>
      <w:r>
        <w:t>0)), an intended population of units with those treatment effects, and non-negative weights that sum to one.</w:t>
      </w:r>
    </w:p>
    <w:p w14:paraId="6FB68BC4" w14:textId="3BC63E17" w:rsidR="00D5623D" w:rsidRDefault="00D5623D" w:rsidP="00D5623D">
      <w:pPr>
        <w:pStyle w:val="ListParagraph"/>
        <w:numPr>
          <w:ilvl w:val="1"/>
          <w:numId w:val="2"/>
        </w:numPr>
      </w:pPr>
      <w:r>
        <w:t>Examples include the ATE, ATT and the LATE, but there are others (e.g., quantile treatment effects, CATE, MTE)</w:t>
      </w:r>
    </w:p>
    <w:p w14:paraId="68D6ECC6" w14:textId="34652905" w:rsidR="00D5623D" w:rsidRDefault="008146AD" w:rsidP="008146AD">
      <w:pPr>
        <w:pStyle w:val="ListParagraph"/>
        <w:numPr>
          <w:ilvl w:val="1"/>
          <w:numId w:val="2"/>
        </w:numPr>
      </w:pPr>
      <w:r>
        <w:t xml:space="preserve">Major decisions: will the researcher choose to weight by geographic population or not, and if so why, and if not </w:t>
      </w:r>
      <w:proofErr w:type="gramStart"/>
      <w:r>
        <w:t>why not</w:t>
      </w:r>
      <w:proofErr w:type="gramEnd"/>
      <w:r>
        <w:t>?</w:t>
      </w:r>
      <w:r w:rsidR="00310E92">
        <w:t xml:space="preserve">  See section 10.14, “</w:t>
      </w:r>
      <w:hyperlink r:id="rId5" w:anchor="designing-your-diff-in-diff-by-checklist" w:history="1">
        <w:r w:rsidR="00310E92" w:rsidRPr="00310E92">
          <w:rPr>
            <w:rStyle w:val="Hyperlink"/>
          </w:rPr>
          <w:t>Designing your diff-in-diff by checklist</w:t>
        </w:r>
      </w:hyperlink>
      <w:r w:rsidR="00310E92">
        <w:t xml:space="preserve">” in Cunningham (2026) (below) as well as Baker, et al. (2026), “Difference-in-Differences: A Practitioner’s Guide”.  </w:t>
      </w:r>
    </w:p>
    <w:p w14:paraId="5EA483B6" w14:textId="37D203E3" w:rsidR="00F0697A" w:rsidRDefault="00F0697A" w:rsidP="008146AD">
      <w:pPr>
        <w:pStyle w:val="ListParagraph"/>
        <w:numPr>
          <w:ilvl w:val="1"/>
          <w:numId w:val="2"/>
        </w:numPr>
      </w:pPr>
      <w:r>
        <w:t xml:space="preserve">Note that “target </w:t>
      </w:r>
      <w:proofErr w:type="spellStart"/>
      <w:r>
        <w:t>estimand</w:t>
      </w:r>
      <w:proofErr w:type="spellEnd"/>
      <w:r>
        <w:t xml:space="preserve">” is normative, not positive.  There are many </w:t>
      </w:r>
      <w:proofErr w:type="spellStart"/>
      <w:r>
        <w:t>estimands</w:t>
      </w:r>
      <w:proofErr w:type="spellEnd"/>
      <w:r>
        <w:t xml:space="preserve"> one could estimate, in other words.  Why this one?  To pick one as the target is to say the others are not relevant or as important.  The </w:t>
      </w:r>
      <w:proofErr w:type="spellStart"/>
      <w:r>
        <w:t>estimand</w:t>
      </w:r>
      <w:proofErr w:type="spellEnd"/>
      <w:r>
        <w:t xml:space="preserve"> is objective, but the target </w:t>
      </w:r>
      <w:proofErr w:type="spellStart"/>
      <w:r>
        <w:t>estimand</w:t>
      </w:r>
      <w:proofErr w:type="spellEnd"/>
      <w:r>
        <w:t xml:space="preserve"> is subjective, and should be based on what we think the policy maker’s core decision will be if they have it, and what their own objective function is. </w:t>
      </w:r>
    </w:p>
    <w:p w14:paraId="6C11A214" w14:textId="05FBC5E4" w:rsidR="00310E92" w:rsidRDefault="00D81CDD" w:rsidP="00310E92">
      <w:pPr>
        <w:pStyle w:val="ListParagraph"/>
        <w:numPr>
          <w:ilvl w:val="0"/>
          <w:numId w:val="2"/>
        </w:numPr>
      </w:pPr>
      <w:r>
        <w:t xml:space="preserve">“Bite” – Show what the treatment’s first order effects were that would impact the outcome insofar as there are such mechanisms.  </w:t>
      </w:r>
    </w:p>
    <w:p w14:paraId="11F15662" w14:textId="67BF80C8" w:rsidR="00D81CDD" w:rsidRDefault="00D81CDD" w:rsidP="00D81CDD">
      <w:pPr>
        <w:pStyle w:val="ListParagraph"/>
        <w:numPr>
          <w:ilvl w:val="1"/>
          <w:numId w:val="2"/>
        </w:numPr>
      </w:pPr>
      <w:r>
        <w:t>Helps build credibility to see where the treatment created variation in the data</w:t>
      </w:r>
    </w:p>
    <w:p w14:paraId="2CC3D7A7" w14:textId="3CDC6048" w:rsidR="00D81CDD" w:rsidRDefault="00D81CDD" w:rsidP="00D81CDD">
      <w:pPr>
        <w:pStyle w:val="ListParagraph"/>
        <w:numPr>
          <w:ilvl w:val="1"/>
          <w:numId w:val="2"/>
        </w:numPr>
      </w:pPr>
      <w:r>
        <w:t xml:space="preserve">Can also help with designing the study. For instance, I studied the union strikes’ effect on browsing using </w:t>
      </w:r>
      <w:proofErr w:type="spellStart"/>
      <w:r>
        <w:t>Glanceviews</w:t>
      </w:r>
      <w:proofErr w:type="spellEnd"/>
      <w:r>
        <w:t xml:space="preserve">.  I showed which counties picked up stories about it, on what date, and for how long, as well as those stories sentiment, and the covariates that were highly correlated with demanding the stories versus not. </w:t>
      </w:r>
    </w:p>
    <w:p w14:paraId="6AB7222D" w14:textId="6E143337" w:rsidR="005449B6" w:rsidRDefault="005449B6" w:rsidP="005449B6">
      <w:pPr>
        <w:pStyle w:val="ListParagraph"/>
        <w:numPr>
          <w:ilvl w:val="1"/>
          <w:numId w:val="2"/>
        </w:numPr>
      </w:pPr>
      <w:r>
        <w:t xml:space="preserve">When working with regional (e.g., county) panel data, consider making maps and time series plots. </w:t>
      </w:r>
    </w:p>
    <w:p w14:paraId="7B4F072A" w14:textId="0E1876D4" w:rsidR="005449B6" w:rsidRDefault="009C5B87" w:rsidP="005449B6">
      <w:pPr>
        <w:pStyle w:val="ListParagraph"/>
        <w:numPr>
          <w:ilvl w:val="0"/>
          <w:numId w:val="2"/>
        </w:numPr>
      </w:pPr>
      <w:r>
        <w:t>Covariate selection and balance</w:t>
      </w:r>
    </w:p>
    <w:p w14:paraId="40F39438" w14:textId="4D254D79" w:rsidR="009C5B87" w:rsidRDefault="009C5B87" w:rsidP="009C5B87">
      <w:pPr>
        <w:pStyle w:val="ListParagraph"/>
        <w:numPr>
          <w:ilvl w:val="1"/>
          <w:numId w:val="2"/>
        </w:numPr>
      </w:pPr>
      <w:r>
        <w:t xml:space="preserve">Choose covariates </w:t>
      </w:r>
      <w:proofErr w:type="gramStart"/>
      <w:r>
        <w:t>in order to</w:t>
      </w:r>
      <w:proofErr w:type="gramEnd"/>
      <w:r>
        <w:t xml:space="preserve"> address bias, and less so to explain the outcome. We are trying to estimate the counterfactual correctly, and when we do, it will eliminate bias insofar as the methodology has a way that covariates accomplish that. </w:t>
      </w:r>
      <w:r w:rsidR="002664CA">
        <w:t xml:space="preserve">Need a principled methodology for picking covariates. </w:t>
      </w:r>
    </w:p>
    <w:p w14:paraId="4352ED49" w14:textId="1D892B7C" w:rsidR="009C5B87" w:rsidRDefault="009C5B87" w:rsidP="00E07012">
      <w:pPr>
        <w:pStyle w:val="ListParagraph"/>
        <w:numPr>
          <w:ilvl w:val="2"/>
          <w:numId w:val="2"/>
        </w:numPr>
      </w:pPr>
      <w:proofErr w:type="spellStart"/>
      <w:r>
        <w:t>Unconfoundedness</w:t>
      </w:r>
      <w:proofErr w:type="spellEnd"/>
      <w:r>
        <w:t xml:space="preserve">: estimate simple comparisons across the dimensions of X get strata specific CATE parameters, then take </w:t>
      </w:r>
      <w:r>
        <w:lastRenderedPageBreak/>
        <w:t xml:space="preserve">weighted average. Use propensity score matching or distance minimization matching with or without bias adjustment.  </w:t>
      </w:r>
      <w:r w:rsidR="00A8339F">
        <w:t>Run properly specified regression models</w:t>
      </w:r>
      <w:r w:rsidR="003F2B3A">
        <w:t xml:space="preserve"> (e.g., saturated regression adjustment).</w:t>
      </w:r>
      <w:r w:rsidR="004A627E">
        <w:t xml:space="preserve"> (Keep in mind that different </w:t>
      </w:r>
      <w:proofErr w:type="spellStart"/>
      <w:r w:rsidR="004A627E">
        <w:t>estimands</w:t>
      </w:r>
      <w:proofErr w:type="spellEnd"/>
      <w:r w:rsidR="004A627E">
        <w:t xml:space="preserve"> have different specifications for all such models, including OLS ones).</w:t>
      </w:r>
      <w:r w:rsidR="00E07012">
        <w:t xml:space="preserve"> Focus is on repairing the levels. </w:t>
      </w:r>
    </w:p>
    <w:p w14:paraId="7278B080" w14:textId="7DF1BA0E" w:rsidR="003F2B3A" w:rsidRDefault="00220527" w:rsidP="00E07012">
      <w:pPr>
        <w:pStyle w:val="ListParagraph"/>
        <w:numPr>
          <w:ilvl w:val="2"/>
          <w:numId w:val="2"/>
        </w:numPr>
      </w:pPr>
      <w:r>
        <w:t>Difference-in-differences</w:t>
      </w:r>
      <w:r w:rsidR="00FB3B72">
        <w:t xml:space="preserve">: </w:t>
      </w:r>
      <w:r w:rsidR="00137015">
        <w:t>Uses the parallel trends assumption. But if a covariate causes differential trends in E[</w:t>
      </w:r>
      <w:proofErr w:type="gramStart"/>
      <w:r w:rsidR="00137015">
        <w:t>Y(</w:t>
      </w:r>
      <w:proofErr w:type="gramEnd"/>
      <w:r w:rsidR="00137015">
        <w:t xml:space="preserve">0)], and that covariate is imbalanced (different mean values) in the treatment versus the control, then parallel trends will mechanically be violated. You can repair if you know that covariate.  Can be incorporated into diff-in-diff models either using the inverse propensity score (IPW), saturated regression adjustment, or both (double robust). </w:t>
      </w:r>
      <w:r w:rsidR="00E07012">
        <w:t>F</w:t>
      </w:r>
      <w:r w:rsidR="009904DA">
        <w:t xml:space="preserve">ocus is on </w:t>
      </w:r>
      <w:r w:rsidR="009904DA">
        <w:rPr>
          <w:i/>
          <w:iCs/>
        </w:rPr>
        <w:t>trends</w:t>
      </w:r>
      <w:r w:rsidR="009904DA">
        <w:t xml:space="preserve"> in the untreated potential outcome, as opposed to the </w:t>
      </w:r>
      <w:r w:rsidR="009904DA">
        <w:rPr>
          <w:i/>
          <w:iCs/>
        </w:rPr>
        <w:t>levels</w:t>
      </w:r>
      <w:r w:rsidR="009904DA">
        <w:t>.</w:t>
      </w:r>
    </w:p>
    <w:p w14:paraId="7CA57C47" w14:textId="6B6B62E6" w:rsidR="00E07012" w:rsidRDefault="00AD474B" w:rsidP="00E07012">
      <w:pPr>
        <w:pStyle w:val="ListParagraph"/>
        <w:numPr>
          <w:ilvl w:val="1"/>
          <w:numId w:val="2"/>
        </w:numPr>
      </w:pPr>
      <w:r>
        <w:t>Diagnostics</w:t>
      </w:r>
    </w:p>
    <w:p w14:paraId="415D8C70" w14:textId="5710BF0B" w:rsidR="00AD474B" w:rsidRDefault="00E3114C" w:rsidP="00AD474B">
      <w:pPr>
        <w:pStyle w:val="ListParagraph"/>
        <w:numPr>
          <w:ilvl w:val="2"/>
          <w:numId w:val="2"/>
        </w:numPr>
      </w:pPr>
      <w:r>
        <w:t>Calculate standardized difference in means using (X1-X0)/sqrt(1/2(V1+V0)) formula and if that is more than 0.25 in absolute value, it is imbalanced (</w:t>
      </w:r>
      <w:proofErr w:type="spellStart"/>
      <w:r>
        <w:t>Imbens</w:t>
      </w:r>
      <w:proofErr w:type="spellEnd"/>
      <w:r>
        <w:t xml:space="preserve"> and Rubin 2015) and therefore should be adjusted for using IPW or regression adjustment so long as it’s in the candidate list of covariates determined as necessary for identification.</w:t>
      </w:r>
    </w:p>
    <w:p w14:paraId="1DB32921" w14:textId="6783F584" w:rsidR="002564C0" w:rsidRDefault="00E54476" w:rsidP="002564C0">
      <w:pPr>
        <w:pStyle w:val="ListParagraph"/>
        <w:numPr>
          <w:ilvl w:val="2"/>
          <w:numId w:val="2"/>
        </w:numPr>
      </w:pPr>
      <w:r>
        <w:t xml:space="preserve">Trim the propensity score.  For the ATT, consider dropping the extreme outliers in the comparison group whose propensity scores are nearly 1.0.  Ignore the treatment group, though, as their propensity score is not used for the ATT.  For the ATE, same with the control group, but now look at the treatment group propensity score that is very nearly 0.  </w:t>
      </w:r>
      <w:proofErr w:type="gramStart"/>
      <w:r>
        <w:t>Both of these</w:t>
      </w:r>
      <w:proofErr w:type="gramEnd"/>
      <w:r>
        <w:t xml:space="preserve"> have explosively large weights due to the inverse probability weight formulas used for adjustment.</w:t>
      </w:r>
      <w:r w:rsidR="00370FB1">
        <w:t xml:space="preserve"> Researcher degrees of freedom will happen here as the only formulas I’ve seen for trimming are by Crump, Hotz, </w:t>
      </w:r>
      <w:proofErr w:type="spellStart"/>
      <w:r w:rsidR="00370FB1">
        <w:t>Imbens</w:t>
      </w:r>
      <w:proofErr w:type="spellEnd"/>
      <w:r w:rsidR="00370FB1">
        <w:t xml:space="preserve"> and Mitnik (2008). </w:t>
      </w:r>
    </w:p>
    <w:p w14:paraId="72B9983F" w14:textId="4AB9AB4D" w:rsidR="00E54476" w:rsidRDefault="00CE7BAF" w:rsidP="00AD474B">
      <w:pPr>
        <w:pStyle w:val="ListParagraph"/>
        <w:numPr>
          <w:ilvl w:val="2"/>
          <w:numId w:val="2"/>
        </w:numPr>
      </w:pPr>
      <w:r>
        <w:t xml:space="preserve">Perfect separation in the propensity score.  </w:t>
      </w:r>
      <w:r w:rsidR="006A1886">
        <w:t xml:space="preserve">Curse of dimensionality problems can emerge from having </w:t>
      </w:r>
      <w:proofErr w:type="gramStart"/>
      <w:r w:rsidR="006A1886">
        <w:t>a large number of</w:t>
      </w:r>
      <w:proofErr w:type="gramEnd"/>
      <w:r w:rsidR="006A1886">
        <w:t xml:space="preserve"> covariates, particularly if many are continuous and highly concentrated in treatment or control groups.  </w:t>
      </w:r>
      <w:r w:rsidR="00697B82">
        <w:t xml:space="preserve">This can create perfect separation in the propensity score such that there is no overlap – the smallest value of the propensity score in the treatment group and the largest value of the propensity score in the comparison group do not overlap.  </w:t>
      </w:r>
      <w:r w:rsidR="00FD59AC">
        <w:t xml:space="preserve">Consider in these situations using regression adjustment, though </w:t>
      </w:r>
      <w:r w:rsidR="00FD59AC">
        <w:lastRenderedPageBreak/>
        <w:t xml:space="preserve">note that these will be sensitive to regression specification (e.g., polynomials, interactions, etc.). </w:t>
      </w:r>
      <w:r w:rsidR="00FF48B3">
        <w:t>May want to bring in machine learning to help here.</w:t>
      </w:r>
    </w:p>
    <w:p w14:paraId="5B1A06A5" w14:textId="476EBCF9" w:rsidR="008218BA" w:rsidRDefault="008218BA" w:rsidP="00AD474B">
      <w:pPr>
        <w:pStyle w:val="ListParagraph"/>
        <w:numPr>
          <w:ilvl w:val="2"/>
          <w:numId w:val="2"/>
        </w:numPr>
      </w:pPr>
      <w:r>
        <w:t>Number of events relative to each covariate should be around 10 (i.e., 10 treated units per covariate)</w:t>
      </w:r>
      <w:r w:rsidR="00C5327A">
        <w:t xml:space="preserve"> if using the propensity score</w:t>
      </w:r>
      <w:r>
        <w:t>, and if not, then consider regression adjustment.</w:t>
      </w:r>
      <w:r w:rsidR="00C5327A">
        <w:t xml:space="preserve"> Same caveats apply as in (iii).</w:t>
      </w:r>
    </w:p>
    <w:p w14:paraId="6761047B" w14:textId="29FE1219" w:rsidR="00FF48B3" w:rsidRDefault="00651300" w:rsidP="00112C02">
      <w:pPr>
        <w:pStyle w:val="ListParagraph"/>
        <w:numPr>
          <w:ilvl w:val="0"/>
          <w:numId w:val="2"/>
        </w:numPr>
      </w:pPr>
      <w:r>
        <w:t xml:space="preserve">Sample shares. Important for understanding </w:t>
      </w:r>
      <w:proofErr w:type="gramStart"/>
      <w:r>
        <w:t>any and all</w:t>
      </w:r>
      <w:proofErr w:type="gramEnd"/>
      <w:r>
        <w:t xml:space="preserve"> aggregations.  Simply count the n</w:t>
      </w:r>
      <w:r w:rsidR="00BD513F">
        <w:t xml:space="preserve">umber of treated units by group-time </w:t>
      </w:r>
    </w:p>
    <w:p w14:paraId="7DD63E8F" w14:textId="48B5E511" w:rsidR="00AD128F" w:rsidRDefault="008218BA" w:rsidP="00AD128F">
      <w:pPr>
        <w:pStyle w:val="ListParagraph"/>
        <w:numPr>
          <w:ilvl w:val="1"/>
          <w:numId w:val="2"/>
        </w:numPr>
      </w:pPr>
      <w:r>
        <w:t>Because CS uses sample shares as weights, it is important to determine</w:t>
      </w:r>
      <w:r w:rsidR="003B1F7E">
        <w:t xml:space="preserve"> the</w:t>
      </w:r>
      <w:r w:rsidR="00481E36">
        <w:t xml:space="preserve"> size of each cohort as single cohorts will dominate the final aggregation.</w:t>
      </w:r>
    </w:p>
    <w:p w14:paraId="72F659C8" w14:textId="4B8518CF" w:rsidR="00481E36" w:rsidRDefault="008204F4" w:rsidP="008204F4">
      <w:pPr>
        <w:pStyle w:val="ListParagraph"/>
        <w:numPr>
          <w:ilvl w:val="1"/>
          <w:numId w:val="2"/>
        </w:numPr>
      </w:pPr>
      <w:r>
        <w:t xml:space="preserve">Shares are N_g/N_T where g is “group” or cohort, and T is the number of treated units. </w:t>
      </w:r>
      <w:r w:rsidR="00105036">
        <w:t>We only care about N_g/N_T for the ATT, not the total number of units.</w:t>
      </w:r>
    </w:p>
    <w:p w14:paraId="6D7E0F4E" w14:textId="7D64B21F" w:rsidR="007F2959" w:rsidRDefault="00935C8A" w:rsidP="00105036">
      <w:pPr>
        <w:pStyle w:val="ListParagraph"/>
        <w:numPr>
          <w:ilvl w:val="0"/>
          <w:numId w:val="2"/>
        </w:numPr>
      </w:pPr>
      <w:r>
        <w:t>Examine outcome trends by group</w:t>
      </w:r>
      <w:r w:rsidR="007F2959">
        <w:t xml:space="preserve">. </w:t>
      </w:r>
      <w:r w:rsidR="00C71BC0">
        <w:t>But “don’t peek” at outcomes post treatment yet (Rubin 2008)</w:t>
      </w:r>
    </w:p>
    <w:p w14:paraId="754FD548" w14:textId="153C5FFA" w:rsidR="00105036" w:rsidRDefault="007F2959" w:rsidP="007F2959">
      <w:pPr>
        <w:pStyle w:val="ListParagraph"/>
        <w:numPr>
          <w:ilvl w:val="1"/>
          <w:numId w:val="2"/>
        </w:numPr>
      </w:pPr>
      <w:r>
        <w:t>Simple plots. Do they look comparable in pre-treatment period?  This will help us understand event studies</w:t>
      </w:r>
    </w:p>
    <w:p w14:paraId="0F36815A" w14:textId="6CE3F49B" w:rsidR="007F2959" w:rsidRDefault="00C71BC0" w:rsidP="007F2959">
      <w:pPr>
        <w:pStyle w:val="ListParagraph"/>
        <w:numPr>
          <w:ilvl w:val="1"/>
          <w:numId w:val="2"/>
        </w:numPr>
      </w:pPr>
      <w:r>
        <w:t xml:space="preserve">Estimate 2x2s in pre-treatment period if you want to go ahead and see the event study without the post treatment outcome or estimated treatment effects. </w:t>
      </w:r>
    </w:p>
    <w:p w14:paraId="6E13E487" w14:textId="067F4D5F" w:rsidR="003F3663" w:rsidRDefault="003F3663" w:rsidP="00C71BC0">
      <w:pPr>
        <w:pStyle w:val="ListParagraph"/>
        <w:numPr>
          <w:ilvl w:val="0"/>
          <w:numId w:val="2"/>
        </w:numPr>
      </w:pPr>
      <w:r>
        <w:t>Power calculation.  Are we powered for this study?  What’s the MDE?</w:t>
      </w:r>
    </w:p>
    <w:p w14:paraId="2900B416" w14:textId="4E31F86A" w:rsidR="00C71BC0" w:rsidRDefault="0009612F" w:rsidP="00C71BC0">
      <w:pPr>
        <w:pStyle w:val="ListParagraph"/>
        <w:numPr>
          <w:ilvl w:val="0"/>
          <w:numId w:val="2"/>
        </w:numPr>
      </w:pPr>
      <w:r>
        <w:t xml:space="preserve">Select estimator. Use method for which you think the identifying assumptions described by the estimator, </w:t>
      </w:r>
      <w:proofErr w:type="gramStart"/>
      <w:r>
        <w:t>in order to</w:t>
      </w:r>
      <w:proofErr w:type="gramEnd"/>
      <w:r>
        <w:t xml:space="preserve"> achieve unbiased estimation of the target causal </w:t>
      </w:r>
      <w:proofErr w:type="spellStart"/>
      <w:r>
        <w:t>estimand</w:t>
      </w:r>
      <w:proofErr w:type="spellEnd"/>
      <w:r>
        <w:t xml:space="preserve"> from stage 1, is most rea</w:t>
      </w:r>
      <w:r w:rsidR="00A03100">
        <w:t xml:space="preserve">listic in the dataset you use.  </w:t>
      </w:r>
      <w:r w:rsidR="007B4452">
        <w:t xml:space="preserve">Keep in mind the impact that heterogenous treatment effects </w:t>
      </w:r>
      <w:proofErr w:type="gramStart"/>
      <w:r w:rsidR="007B4452">
        <w:t>has</w:t>
      </w:r>
      <w:proofErr w:type="gramEnd"/>
      <w:r w:rsidR="007B4452">
        <w:t xml:space="preserve"> on bias, including with respect to covariates, and use the model that is most robust.  When moving away from it, make explicit </w:t>
      </w:r>
      <w:r w:rsidR="005C6E7A">
        <w:t>the new assumptions needed to justify the new estimator.</w:t>
      </w:r>
      <w:r w:rsidR="0092324F">
        <w:t xml:space="preserve"> Create event studies. </w:t>
      </w:r>
    </w:p>
    <w:p w14:paraId="7E19ECF0" w14:textId="3C07EE12" w:rsidR="005C6E7A" w:rsidRDefault="0092324F" w:rsidP="00C71BC0">
      <w:pPr>
        <w:pStyle w:val="ListParagraph"/>
        <w:numPr>
          <w:ilvl w:val="0"/>
          <w:numId w:val="2"/>
        </w:numPr>
      </w:pPr>
      <w:r>
        <w:t>Falsification and sensitivity analysis.</w:t>
      </w:r>
    </w:p>
    <w:p w14:paraId="4D50D6B8" w14:textId="66FF19D7" w:rsidR="0092324F" w:rsidRDefault="00340AFB" w:rsidP="0092324F">
      <w:pPr>
        <w:pStyle w:val="ListParagraph"/>
        <w:numPr>
          <w:ilvl w:val="1"/>
          <w:numId w:val="2"/>
        </w:numPr>
      </w:pPr>
      <w:r>
        <w:t>Popperian theory driven outcomes that have similar confounder structures but no treatment effect</w:t>
      </w:r>
    </w:p>
    <w:p w14:paraId="083D07EA" w14:textId="0EAACA3D" w:rsidR="00340AFB" w:rsidRDefault="00871EA8" w:rsidP="0092324F">
      <w:pPr>
        <w:pStyle w:val="ListParagraph"/>
        <w:numPr>
          <w:ilvl w:val="1"/>
          <w:numId w:val="2"/>
        </w:numPr>
      </w:pPr>
      <w:r>
        <w:t xml:space="preserve">Rambachan and Roth “credible parallel trends” </w:t>
      </w:r>
      <w:r w:rsidR="00FA5B28">
        <w:t>sensitivity analysis</w:t>
      </w:r>
      <w:r w:rsidR="008F5DDB">
        <w:t>. Make figures showing M=0 up to things like 0.2, 0.4, etc. or 0, 0.5, 1.0, etc.</w:t>
      </w:r>
    </w:p>
    <w:p w14:paraId="32ECDD67" w14:textId="77777777" w:rsidR="003034A8" w:rsidRDefault="003034A8" w:rsidP="00363EBD">
      <w:pPr>
        <w:pStyle w:val="ListParagraph"/>
      </w:pPr>
    </w:p>
    <w:p w14:paraId="3303B55B" w14:textId="77777777" w:rsidR="00E126B5" w:rsidRDefault="00E126B5" w:rsidP="00BE6A8D"/>
    <w:sectPr w:rsidR="00E1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620E0"/>
    <w:multiLevelType w:val="hybridMultilevel"/>
    <w:tmpl w:val="C414CB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897258"/>
    <w:multiLevelType w:val="hybridMultilevel"/>
    <w:tmpl w:val="C986C3DE"/>
    <w:lvl w:ilvl="0" w:tplc="9100581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923481">
    <w:abstractNumId w:val="1"/>
  </w:num>
  <w:num w:numId="2" w16cid:durableId="494998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24"/>
    <w:rsid w:val="0009612F"/>
    <w:rsid w:val="000F6124"/>
    <w:rsid w:val="00105036"/>
    <w:rsid w:val="00112C02"/>
    <w:rsid w:val="00137015"/>
    <w:rsid w:val="00220527"/>
    <w:rsid w:val="002564C0"/>
    <w:rsid w:val="002664CA"/>
    <w:rsid w:val="002870B2"/>
    <w:rsid w:val="002B5113"/>
    <w:rsid w:val="003034A8"/>
    <w:rsid w:val="00310E92"/>
    <w:rsid w:val="00340AFB"/>
    <w:rsid w:val="00352BD9"/>
    <w:rsid w:val="00363EBD"/>
    <w:rsid w:val="00370FB1"/>
    <w:rsid w:val="003B1F7E"/>
    <w:rsid w:val="003B2B00"/>
    <w:rsid w:val="003C0482"/>
    <w:rsid w:val="003F2B3A"/>
    <w:rsid w:val="003F3663"/>
    <w:rsid w:val="00481E36"/>
    <w:rsid w:val="004A627E"/>
    <w:rsid w:val="005449B6"/>
    <w:rsid w:val="005C6E7A"/>
    <w:rsid w:val="00651300"/>
    <w:rsid w:val="00697B82"/>
    <w:rsid w:val="006A1886"/>
    <w:rsid w:val="007B4452"/>
    <w:rsid w:val="007F2959"/>
    <w:rsid w:val="008146AD"/>
    <w:rsid w:val="008204F4"/>
    <w:rsid w:val="008218BA"/>
    <w:rsid w:val="00871EA8"/>
    <w:rsid w:val="008F5DDB"/>
    <w:rsid w:val="0092324F"/>
    <w:rsid w:val="00935C8A"/>
    <w:rsid w:val="009904DA"/>
    <w:rsid w:val="009C5B87"/>
    <w:rsid w:val="00A03100"/>
    <w:rsid w:val="00A8339F"/>
    <w:rsid w:val="00AD128F"/>
    <w:rsid w:val="00AD474B"/>
    <w:rsid w:val="00B511EA"/>
    <w:rsid w:val="00BD513F"/>
    <w:rsid w:val="00BE6A8D"/>
    <w:rsid w:val="00C3475F"/>
    <w:rsid w:val="00C5327A"/>
    <w:rsid w:val="00C71BC0"/>
    <w:rsid w:val="00CB184A"/>
    <w:rsid w:val="00CE7BAF"/>
    <w:rsid w:val="00D5623D"/>
    <w:rsid w:val="00D81CDD"/>
    <w:rsid w:val="00E07012"/>
    <w:rsid w:val="00E126B5"/>
    <w:rsid w:val="00E3114C"/>
    <w:rsid w:val="00E46E29"/>
    <w:rsid w:val="00E54476"/>
    <w:rsid w:val="00F0697A"/>
    <w:rsid w:val="00F0759E"/>
    <w:rsid w:val="00FA5B28"/>
    <w:rsid w:val="00FB3B72"/>
    <w:rsid w:val="00FD59AC"/>
    <w:rsid w:val="00FF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522EF3"/>
  <w15:chartTrackingRefBased/>
  <w15:docId w15:val="{126B11FE-BE86-BE46-95E7-C71077B4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124"/>
    <w:rPr>
      <w:rFonts w:eastAsiaTheme="majorEastAsia" w:cstheme="majorBidi"/>
      <w:color w:val="272727" w:themeColor="text1" w:themeTint="D8"/>
    </w:rPr>
  </w:style>
  <w:style w:type="paragraph" w:styleId="Title">
    <w:name w:val="Title"/>
    <w:basedOn w:val="Normal"/>
    <w:next w:val="Normal"/>
    <w:link w:val="TitleChar"/>
    <w:uiPriority w:val="10"/>
    <w:qFormat/>
    <w:rsid w:val="000F6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124"/>
    <w:pPr>
      <w:spacing w:before="160"/>
      <w:jc w:val="center"/>
    </w:pPr>
    <w:rPr>
      <w:i/>
      <w:iCs/>
      <w:color w:val="404040" w:themeColor="text1" w:themeTint="BF"/>
    </w:rPr>
  </w:style>
  <w:style w:type="character" w:customStyle="1" w:styleId="QuoteChar">
    <w:name w:val="Quote Char"/>
    <w:basedOn w:val="DefaultParagraphFont"/>
    <w:link w:val="Quote"/>
    <w:uiPriority w:val="29"/>
    <w:rsid w:val="000F6124"/>
    <w:rPr>
      <w:i/>
      <w:iCs/>
      <w:color w:val="404040" w:themeColor="text1" w:themeTint="BF"/>
    </w:rPr>
  </w:style>
  <w:style w:type="paragraph" w:styleId="ListParagraph">
    <w:name w:val="List Paragraph"/>
    <w:basedOn w:val="Normal"/>
    <w:uiPriority w:val="34"/>
    <w:qFormat/>
    <w:rsid w:val="000F6124"/>
    <w:pPr>
      <w:ind w:left="720"/>
      <w:contextualSpacing/>
    </w:pPr>
  </w:style>
  <w:style w:type="character" w:styleId="IntenseEmphasis">
    <w:name w:val="Intense Emphasis"/>
    <w:basedOn w:val="DefaultParagraphFont"/>
    <w:uiPriority w:val="21"/>
    <w:qFormat/>
    <w:rsid w:val="000F6124"/>
    <w:rPr>
      <w:i/>
      <w:iCs/>
      <w:color w:val="0F4761" w:themeColor="accent1" w:themeShade="BF"/>
    </w:rPr>
  </w:style>
  <w:style w:type="paragraph" w:styleId="IntenseQuote">
    <w:name w:val="Intense Quote"/>
    <w:basedOn w:val="Normal"/>
    <w:next w:val="Normal"/>
    <w:link w:val="IntenseQuoteChar"/>
    <w:uiPriority w:val="30"/>
    <w:qFormat/>
    <w:rsid w:val="000F6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124"/>
    <w:rPr>
      <w:i/>
      <w:iCs/>
      <w:color w:val="0F4761" w:themeColor="accent1" w:themeShade="BF"/>
    </w:rPr>
  </w:style>
  <w:style w:type="character" w:styleId="IntenseReference">
    <w:name w:val="Intense Reference"/>
    <w:basedOn w:val="DefaultParagraphFont"/>
    <w:uiPriority w:val="32"/>
    <w:qFormat/>
    <w:rsid w:val="000F6124"/>
    <w:rPr>
      <w:b/>
      <w:bCs/>
      <w:smallCaps/>
      <w:color w:val="0F4761" w:themeColor="accent1" w:themeShade="BF"/>
      <w:spacing w:val="5"/>
    </w:rPr>
  </w:style>
  <w:style w:type="character" w:styleId="Hyperlink">
    <w:name w:val="Hyperlink"/>
    <w:basedOn w:val="DefaultParagraphFont"/>
    <w:uiPriority w:val="99"/>
    <w:unhideWhenUsed/>
    <w:rsid w:val="00310E92"/>
    <w:rPr>
      <w:color w:val="467886" w:themeColor="hyperlink"/>
      <w:u w:val="single"/>
    </w:rPr>
  </w:style>
  <w:style w:type="character" w:styleId="UnresolvedMention">
    <w:name w:val="Unresolved Mention"/>
    <w:basedOn w:val="DefaultParagraphFont"/>
    <w:uiPriority w:val="99"/>
    <w:semiHidden/>
    <w:unhideWhenUsed/>
    <w:rsid w:val="00310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xtape.scunning.com/08b-complex_diff_in_dif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Cunningham, Scott [C]</dc:creator>
  <cp:keywords/>
  <dc:description/>
  <cp:lastModifiedBy>Cunningham, Scott [C]</cp:lastModifiedBy>
  <cp:revision>2</cp:revision>
  <dcterms:created xsi:type="dcterms:W3CDTF">2026-10-01T20:00:00Z</dcterms:created>
  <dcterms:modified xsi:type="dcterms:W3CDTF">2026-10-01T20:00:00Z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2026-09-25T03:34:47Z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5d4e5da4-640b-4156-ad98-6c630902a8a3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