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1AAF" w14:textId="096643BD" w:rsidR="00FF423E" w:rsidRDefault="00236EBA">
      <w:r>
        <w:t>Definition of the ATT:</w:t>
      </w:r>
    </w:p>
    <w:p w14:paraId="6B883170" w14:textId="77777777" w:rsidR="00236EBA" w:rsidRDefault="00236EBA"/>
    <w:p w14:paraId="699E1FA4" w14:textId="226B5435" w:rsidR="00236EBA" w:rsidRDefault="00236EBA">
      <w:pPr>
        <w:rPr>
          <w:color w:val="EE0000"/>
        </w:rPr>
      </w:pPr>
      <w:r>
        <w:t>ATT = E[Y(</w:t>
      </w:r>
      <w:proofErr w:type="gramStart"/>
      <w:r>
        <w:t>1)|</w:t>
      </w:r>
      <w:proofErr w:type="gramEnd"/>
      <w:r>
        <w:t xml:space="preserve">D=1] – </w:t>
      </w:r>
      <w:r w:rsidRPr="00236EBA">
        <w:rPr>
          <w:color w:val="EE0000"/>
        </w:rPr>
        <w:t>E[Y(</w:t>
      </w:r>
      <w:proofErr w:type="gramStart"/>
      <w:r w:rsidRPr="00236EBA">
        <w:rPr>
          <w:color w:val="EE0000"/>
        </w:rPr>
        <w:t>0)|</w:t>
      </w:r>
      <w:proofErr w:type="gramEnd"/>
      <w:r w:rsidRPr="00236EBA">
        <w:rPr>
          <w:color w:val="EE0000"/>
        </w:rPr>
        <w:t>D=1]</w:t>
      </w:r>
    </w:p>
    <w:p w14:paraId="12E20EF0" w14:textId="2756B60C" w:rsidR="00236EBA" w:rsidRDefault="00236EBA" w:rsidP="00236EBA">
      <w:pPr>
        <w:rPr>
          <w:color w:val="EE0000"/>
        </w:rPr>
      </w:pPr>
      <w:r>
        <w:t xml:space="preserve">ATT = E[Y|D=1] – </w:t>
      </w:r>
      <w:r w:rsidRPr="00236EBA">
        <w:rPr>
          <w:color w:val="EE0000"/>
        </w:rPr>
        <w:t>E[Y(</w:t>
      </w:r>
      <w:proofErr w:type="gramStart"/>
      <w:r w:rsidRPr="00236EBA">
        <w:rPr>
          <w:color w:val="EE0000"/>
        </w:rPr>
        <w:t>0)|</w:t>
      </w:r>
      <w:proofErr w:type="gramEnd"/>
      <w:r w:rsidRPr="00236EBA">
        <w:rPr>
          <w:color w:val="EE0000"/>
        </w:rPr>
        <w:t>D=1]</w:t>
      </w:r>
    </w:p>
    <w:p w14:paraId="4BB49EC3" w14:textId="5AD51CE5" w:rsidR="00236EBA" w:rsidRDefault="00236EBA" w:rsidP="00236EBA">
      <w:pPr>
        <w:rPr>
          <w:color w:val="EE0000"/>
        </w:rPr>
      </w:pPr>
      <w:r>
        <w:rPr>
          <w:color w:val="EE0000"/>
        </w:rPr>
        <w:t xml:space="preserve">You will be reweighting the control group’s Y. </w:t>
      </w:r>
    </w:p>
    <w:p w14:paraId="0B0C8BFB" w14:textId="77777777" w:rsidR="00236EBA" w:rsidRDefault="00236EBA" w:rsidP="00236EBA">
      <w:pPr>
        <w:rPr>
          <w:color w:val="EE0000"/>
        </w:rPr>
      </w:pPr>
    </w:p>
    <w:p w14:paraId="65B14088" w14:textId="7E63562F" w:rsidR="00236EBA" w:rsidRDefault="00236EBA" w:rsidP="00236EBA">
      <w:pPr>
        <w:rPr>
          <w:color w:val="156082" w:themeColor="accent1"/>
        </w:rPr>
      </w:pPr>
      <w:r>
        <w:t>ATT = E[Y(</w:t>
      </w:r>
      <w:proofErr w:type="gramStart"/>
      <w:r>
        <w:t>1)|</w:t>
      </w:r>
      <w:proofErr w:type="gramEnd"/>
      <w:r>
        <w:t xml:space="preserve">D=1] – </w:t>
      </w:r>
      <w:r w:rsidRPr="00236EBA">
        <w:rPr>
          <w:color w:val="156082" w:themeColor="accent1"/>
        </w:rPr>
        <w:t>E[</w:t>
      </w:r>
      <w:proofErr w:type="gramStart"/>
      <w:r w:rsidRPr="00236EBA">
        <w:rPr>
          <w:color w:val="156082" w:themeColor="accent1"/>
        </w:rPr>
        <w:t>Y(0)|</w:t>
      </w:r>
      <w:proofErr w:type="gramEnd"/>
      <w:r w:rsidRPr="00236EBA">
        <w:rPr>
          <w:color w:val="156082" w:themeColor="accent1"/>
        </w:rPr>
        <w:t>D=</w:t>
      </w:r>
      <w:r w:rsidRPr="00236EBA">
        <w:rPr>
          <w:color w:val="156082" w:themeColor="accent1"/>
        </w:rPr>
        <w:t>0</w:t>
      </w:r>
      <w:r>
        <w:rPr>
          <w:color w:val="156082" w:themeColor="accent1"/>
        </w:rPr>
        <w:t>, X=x</w:t>
      </w:r>
      <w:r w:rsidRPr="00236EBA">
        <w:rPr>
          <w:color w:val="156082" w:themeColor="accent1"/>
        </w:rPr>
        <w:t>]</w:t>
      </w:r>
    </w:p>
    <w:p w14:paraId="265307FE" w14:textId="77777777" w:rsidR="00236EBA" w:rsidRDefault="00236EBA" w:rsidP="00236EBA">
      <w:pPr>
        <w:rPr>
          <w:color w:val="156082" w:themeColor="accent1"/>
        </w:rPr>
      </w:pPr>
    </w:p>
    <w:p w14:paraId="23DEF6CB" w14:textId="52AC9DDF" w:rsidR="00236EBA" w:rsidRDefault="00236EBA" w:rsidP="00236EBA">
      <w:pPr>
        <w:rPr>
          <w:color w:val="156082" w:themeColor="accent1"/>
        </w:rPr>
      </w:pPr>
      <w:r>
        <w:rPr>
          <w:color w:val="156082" w:themeColor="accent1"/>
        </w:rPr>
        <w:t>2x2 = E[{D-p(x)}/(1-p(x)] x (Delta Y)</w:t>
      </w:r>
    </w:p>
    <w:tbl>
      <w:tblPr>
        <w:tblStyle w:val="TableGrid"/>
        <w:tblW w:w="0" w:type="auto"/>
        <w:tblLook w:val="04A0" w:firstRow="1" w:lastRow="0" w:firstColumn="1" w:lastColumn="0" w:noHBand="0" w:noVBand="1"/>
      </w:tblPr>
      <w:tblGrid>
        <w:gridCol w:w="1740"/>
        <w:gridCol w:w="1509"/>
        <w:gridCol w:w="1542"/>
        <w:gridCol w:w="1541"/>
        <w:gridCol w:w="1443"/>
        <w:gridCol w:w="1575"/>
      </w:tblGrid>
      <w:tr w:rsidR="00236EBA" w14:paraId="79946677" w14:textId="77777777" w:rsidTr="00236EBA">
        <w:tc>
          <w:tcPr>
            <w:tcW w:w="1740" w:type="dxa"/>
          </w:tcPr>
          <w:p w14:paraId="48D1E427" w14:textId="212A4E66" w:rsidR="00236EBA" w:rsidRDefault="00236EBA" w:rsidP="00236EBA">
            <w:pPr>
              <w:rPr>
                <w:color w:val="EE0000"/>
              </w:rPr>
            </w:pPr>
            <w:r>
              <w:rPr>
                <w:color w:val="EE0000"/>
              </w:rPr>
              <w:t>Person</w:t>
            </w:r>
          </w:p>
        </w:tc>
        <w:tc>
          <w:tcPr>
            <w:tcW w:w="1509" w:type="dxa"/>
          </w:tcPr>
          <w:p w14:paraId="372A84CF" w14:textId="718A806F" w:rsidR="00236EBA" w:rsidRDefault="00236EBA" w:rsidP="00236EBA">
            <w:pPr>
              <w:rPr>
                <w:color w:val="EE0000"/>
              </w:rPr>
            </w:pPr>
            <w:r>
              <w:rPr>
                <w:color w:val="EE0000"/>
              </w:rPr>
              <w:t>D</w:t>
            </w:r>
          </w:p>
        </w:tc>
        <w:tc>
          <w:tcPr>
            <w:tcW w:w="1542" w:type="dxa"/>
          </w:tcPr>
          <w:p w14:paraId="7535CE77" w14:textId="316DFD76" w:rsidR="00236EBA" w:rsidRDefault="00236EBA" w:rsidP="00236EBA">
            <w:pPr>
              <w:rPr>
                <w:color w:val="EE0000"/>
              </w:rPr>
            </w:pPr>
            <w:r>
              <w:rPr>
                <w:color w:val="EE0000"/>
              </w:rPr>
              <w:t>P(X)</w:t>
            </w:r>
          </w:p>
        </w:tc>
        <w:tc>
          <w:tcPr>
            <w:tcW w:w="1541" w:type="dxa"/>
          </w:tcPr>
          <w:p w14:paraId="20979908" w14:textId="7CDBF768" w:rsidR="00236EBA" w:rsidRDefault="00236EBA" w:rsidP="00236EBA">
            <w:pPr>
              <w:rPr>
                <w:color w:val="EE0000"/>
              </w:rPr>
            </w:pPr>
            <w:r>
              <w:rPr>
                <w:color w:val="EE0000"/>
              </w:rPr>
              <w:t>IPW</w:t>
            </w:r>
          </w:p>
        </w:tc>
        <w:tc>
          <w:tcPr>
            <w:tcW w:w="1443" w:type="dxa"/>
          </w:tcPr>
          <w:p w14:paraId="066B4702" w14:textId="7E9BEFCB" w:rsidR="00236EBA" w:rsidRDefault="00236EBA" w:rsidP="00236EBA">
            <w:pPr>
              <w:rPr>
                <w:color w:val="EE0000"/>
              </w:rPr>
            </w:pPr>
            <w:r>
              <w:rPr>
                <w:color w:val="EE0000"/>
              </w:rPr>
              <w:t>Delta Y</w:t>
            </w:r>
          </w:p>
        </w:tc>
        <w:tc>
          <w:tcPr>
            <w:tcW w:w="1575" w:type="dxa"/>
          </w:tcPr>
          <w:p w14:paraId="2C3EA032" w14:textId="01F56D0C" w:rsidR="00236EBA" w:rsidRDefault="00236EBA" w:rsidP="00236EBA">
            <w:pPr>
              <w:rPr>
                <w:color w:val="EE0000"/>
              </w:rPr>
            </w:pPr>
            <w:r>
              <w:rPr>
                <w:color w:val="EE0000"/>
              </w:rPr>
              <w:t>IPW Delta Y</w:t>
            </w:r>
          </w:p>
        </w:tc>
      </w:tr>
      <w:tr w:rsidR="00236EBA" w14:paraId="7C731CEE" w14:textId="77777777" w:rsidTr="00236EBA">
        <w:tc>
          <w:tcPr>
            <w:tcW w:w="1740" w:type="dxa"/>
          </w:tcPr>
          <w:p w14:paraId="6C590B0D" w14:textId="06EBD910" w:rsidR="00236EBA" w:rsidRDefault="00236EBA" w:rsidP="00236EBA">
            <w:pPr>
              <w:rPr>
                <w:color w:val="EE0000"/>
              </w:rPr>
            </w:pPr>
            <w:r>
              <w:rPr>
                <w:color w:val="EE0000"/>
              </w:rPr>
              <w:t>Alan</w:t>
            </w:r>
          </w:p>
        </w:tc>
        <w:tc>
          <w:tcPr>
            <w:tcW w:w="1509" w:type="dxa"/>
          </w:tcPr>
          <w:p w14:paraId="2F09E364" w14:textId="20F2FCFA" w:rsidR="00236EBA" w:rsidRDefault="00236EBA" w:rsidP="00236EBA">
            <w:pPr>
              <w:rPr>
                <w:color w:val="EE0000"/>
              </w:rPr>
            </w:pPr>
            <w:r>
              <w:rPr>
                <w:color w:val="EE0000"/>
              </w:rPr>
              <w:t>1</w:t>
            </w:r>
          </w:p>
        </w:tc>
        <w:tc>
          <w:tcPr>
            <w:tcW w:w="1542" w:type="dxa"/>
          </w:tcPr>
          <w:p w14:paraId="29653BEF" w14:textId="14BDE136" w:rsidR="00236EBA" w:rsidRDefault="00236EBA" w:rsidP="00236EBA">
            <w:pPr>
              <w:rPr>
                <w:color w:val="EE0000"/>
              </w:rPr>
            </w:pPr>
            <w:r>
              <w:rPr>
                <w:color w:val="EE0000"/>
              </w:rPr>
              <w:t>0.75</w:t>
            </w:r>
          </w:p>
        </w:tc>
        <w:tc>
          <w:tcPr>
            <w:tcW w:w="1541" w:type="dxa"/>
          </w:tcPr>
          <w:p w14:paraId="2BB91A0A" w14:textId="0E342933" w:rsidR="00236EBA" w:rsidRDefault="00236EBA" w:rsidP="00236EBA">
            <w:pPr>
              <w:rPr>
                <w:color w:val="EE0000"/>
              </w:rPr>
            </w:pPr>
            <w:r>
              <w:rPr>
                <w:color w:val="EE0000"/>
              </w:rPr>
              <w:t>1</w:t>
            </w:r>
          </w:p>
        </w:tc>
        <w:tc>
          <w:tcPr>
            <w:tcW w:w="1443" w:type="dxa"/>
          </w:tcPr>
          <w:p w14:paraId="7728BFC8" w14:textId="3FBE69BD" w:rsidR="00236EBA" w:rsidRDefault="00236EBA" w:rsidP="00236EBA">
            <w:pPr>
              <w:rPr>
                <w:color w:val="EE0000"/>
              </w:rPr>
            </w:pPr>
            <w:r>
              <w:rPr>
                <w:color w:val="EE0000"/>
              </w:rPr>
              <w:t>100</w:t>
            </w:r>
          </w:p>
        </w:tc>
        <w:tc>
          <w:tcPr>
            <w:tcW w:w="1575" w:type="dxa"/>
          </w:tcPr>
          <w:p w14:paraId="715246CD" w14:textId="0A72C326" w:rsidR="00236EBA" w:rsidRDefault="00236EBA" w:rsidP="00236EBA">
            <w:pPr>
              <w:rPr>
                <w:color w:val="EE0000"/>
              </w:rPr>
            </w:pPr>
            <w:r>
              <w:rPr>
                <w:color w:val="EE0000"/>
              </w:rPr>
              <w:t>100</w:t>
            </w:r>
          </w:p>
        </w:tc>
      </w:tr>
      <w:tr w:rsidR="00236EBA" w14:paraId="4EAEC89D" w14:textId="77777777" w:rsidTr="00236EBA">
        <w:tc>
          <w:tcPr>
            <w:tcW w:w="1740" w:type="dxa"/>
          </w:tcPr>
          <w:p w14:paraId="1C45CEE2" w14:textId="2B30CD7D" w:rsidR="00236EBA" w:rsidRDefault="00236EBA" w:rsidP="00236EBA">
            <w:pPr>
              <w:rPr>
                <w:color w:val="EE0000"/>
              </w:rPr>
            </w:pPr>
            <w:r>
              <w:rPr>
                <w:color w:val="EE0000"/>
              </w:rPr>
              <w:t>Betty</w:t>
            </w:r>
          </w:p>
        </w:tc>
        <w:tc>
          <w:tcPr>
            <w:tcW w:w="1509" w:type="dxa"/>
          </w:tcPr>
          <w:p w14:paraId="3D1E731E" w14:textId="092E5B79" w:rsidR="00236EBA" w:rsidRDefault="00236EBA" w:rsidP="00236EBA">
            <w:pPr>
              <w:rPr>
                <w:color w:val="EE0000"/>
              </w:rPr>
            </w:pPr>
            <w:r>
              <w:rPr>
                <w:color w:val="EE0000"/>
              </w:rPr>
              <w:t>1</w:t>
            </w:r>
          </w:p>
        </w:tc>
        <w:tc>
          <w:tcPr>
            <w:tcW w:w="1542" w:type="dxa"/>
          </w:tcPr>
          <w:p w14:paraId="54331685" w14:textId="60A1B5C7" w:rsidR="00236EBA" w:rsidRDefault="00236EBA" w:rsidP="00236EBA">
            <w:pPr>
              <w:rPr>
                <w:color w:val="EE0000"/>
              </w:rPr>
            </w:pPr>
            <w:r>
              <w:rPr>
                <w:color w:val="EE0000"/>
              </w:rPr>
              <w:t>0.5</w:t>
            </w:r>
          </w:p>
        </w:tc>
        <w:tc>
          <w:tcPr>
            <w:tcW w:w="1541" w:type="dxa"/>
          </w:tcPr>
          <w:p w14:paraId="46F3D73D" w14:textId="021D410E" w:rsidR="00236EBA" w:rsidRDefault="00236EBA" w:rsidP="00236EBA">
            <w:pPr>
              <w:rPr>
                <w:color w:val="EE0000"/>
              </w:rPr>
            </w:pPr>
            <w:r>
              <w:rPr>
                <w:color w:val="EE0000"/>
              </w:rPr>
              <w:t>1</w:t>
            </w:r>
          </w:p>
        </w:tc>
        <w:tc>
          <w:tcPr>
            <w:tcW w:w="1443" w:type="dxa"/>
          </w:tcPr>
          <w:p w14:paraId="139520B8" w14:textId="0AA883F0" w:rsidR="00236EBA" w:rsidRDefault="00236EBA" w:rsidP="00236EBA">
            <w:pPr>
              <w:rPr>
                <w:color w:val="EE0000"/>
              </w:rPr>
            </w:pPr>
            <w:r>
              <w:rPr>
                <w:color w:val="EE0000"/>
              </w:rPr>
              <w:t>25</w:t>
            </w:r>
          </w:p>
        </w:tc>
        <w:tc>
          <w:tcPr>
            <w:tcW w:w="1575" w:type="dxa"/>
          </w:tcPr>
          <w:p w14:paraId="5B14F95A" w14:textId="15D69357" w:rsidR="00236EBA" w:rsidRDefault="00236EBA" w:rsidP="00236EBA">
            <w:pPr>
              <w:rPr>
                <w:color w:val="EE0000"/>
              </w:rPr>
            </w:pPr>
            <w:r>
              <w:rPr>
                <w:color w:val="EE0000"/>
              </w:rPr>
              <w:t>25</w:t>
            </w:r>
          </w:p>
        </w:tc>
      </w:tr>
      <w:tr w:rsidR="00236EBA" w14:paraId="00E8A8BB" w14:textId="77777777" w:rsidTr="00236EBA">
        <w:tc>
          <w:tcPr>
            <w:tcW w:w="1740" w:type="dxa"/>
          </w:tcPr>
          <w:p w14:paraId="36861DB2" w14:textId="40DDDDAB" w:rsidR="00236EBA" w:rsidRDefault="00236EBA" w:rsidP="00236EBA">
            <w:pPr>
              <w:rPr>
                <w:color w:val="EE0000"/>
              </w:rPr>
            </w:pPr>
            <w:r>
              <w:rPr>
                <w:color w:val="EE0000"/>
              </w:rPr>
              <w:t>Chad</w:t>
            </w:r>
          </w:p>
        </w:tc>
        <w:tc>
          <w:tcPr>
            <w:tcW w:w="1509" w:type="dxa"/>
          </w:tcPr>
          <w:p w14:paraId="522E09A8" w14:textId="1A8DAE6F" w:rsidR="00236EBA" w:rsidRDefault="00236EBA" w:rsidP="00236EBA">
            <w:pPr>
              <w:rPr>
                <w:color w:val="EE0000"/>
              </w:rPr>
            </w:pPr>
            <w:r>
              <w:rPr>
                <w:color w:val="EE0000"/>
              </w:rPr>
              <w:t>1</w:t>
            </w:r>
          </w:p>
        </w:tc>
        <w:tc>
          <w:tcPr>
            <w:tcW w:w="1542" w:type="dxa"/>
          </w:tcPr>
          <w:p w14:paraId="4B35639F" w14:textId="291AF06E" w:rsidR="00236EBA" w:rsidRDefault="00236EBA" w:rsidP="00236EBA">
            <w:pPr>
              <w:rPr>
                <w:color w:val="EE0000"/>
              </w:rPr>
            </w:pPr>
            <w:r>
              <w:rPr>
                <w:color w:val="EE0000"/>
              </w:rPr>
              <w:t>0.25</w:t>
            </w:r>
          </w:p>
        </w:tc>
        <w:tc>
          <w:tcPr>
            <w:tcW w:w="1541" w:type="dxa"/>
          </w:tcPr>
          <w:p w14:paraId="5A3BB2B0" w14:textId="37555A0D" w:rsidR="00236EBA" w:rsidRDefault="00236EBA" w:rsidP="00236EBA">
            <w:pPr>
              <w:rPr>
                <w:color w:val="EE0000"/>
              </w:rPr>
            </w:pPr>
            <w:r>
              <w:rPr>
                <w:color w:val="EE0000"/>
              </w:rPr>
              <w:t>1</w:t>
            </w:r>
          </w:p>
        </w:tc>
        <w:tc>
          <w:tcPr>
            <w:tcW w:w="1443" w:type="dxa"/>
          </w:tcPr>
          <w:p w14:paraId="3F42E14E" w14:textId="55A84741" w:rsidR="00236EBA" w:rsidRDefault="00236EBA" w:rsidP="00236EBA">
            <w:pPr>
              <w:rPr>
                <w:color w:val="EE0000"/>
              </w:rPr>
            </w:pPr>
            <w:r>
              <w:rPr>
                <w:color w:val="EE0000"/>
              </w:rPr>
              <w:t>-50</w:t>
            </w:r>
          </w:p>
        </w:tc>
        <w:tc>
          <w:tcPr>
            <w:tcW w:w="1575" w:type="dxa"/>
          </w:tcPr>
          <w:p w14:paraId="03CA3F3D" w14:textId="4BE70787" w:rsidR="00236EBA" w:rsidRDefault="00236EBA" w:rsidP="00236EBA">
            <w:pPr>
              <w:rPr>
                <w:color w:val="EE0000"/>
              </w:rPr>
            </w:pPr>
            <w:r>
              <w:rPr>
                <w:color w:val="EE0000"/>
              </w:rPr>
              <w:t>-50</w:t>
            </w:r>
          </w:p>
        </w:tc>
      </w:tr>
      <w:tr w:rsidR="00236EBA" w14:paraId="1930DDF5" w14:textId="77777777" w:rsidTr="00236EBA">
        <w:tc>
          <w:tcPr>
            <w:tcW w:w="1740" w:type="dxa"/>
          </w:tcPr>
          <w:p w14:paraId="2D2759FA" w14:textId="4418737B" w:rsidR="00236EBA" w:rsidRPr="00236EBA" w:rsidRDefault="00236EBA" w:rsidP="00236EBA">
            <w:pPr>
              <w:rPr>
                <w:color w:val="156082" w:themeColor="accent1"/>
              </w:rPr>
            </w:pPr>
            <w:r>
              <w:rPr>
                <w:color w:val="156082" w:themeColor="accent1"/>
              </w:rPr>
              <w:t>Daniel</w:t>
            </w:r>
          </w:p>
        </w:tc>
        <w:tc>
          <w:tcPr>
            <w:tcW w:w="1509" w:type="dxa"/>
          </w:tcPr>
          <w:p w14:paraId="59B38AD5" w14:textId="791312D1" w:rsidR="00236EBA" w:rsidRDefault="00236EBA" w:rsidP="00236EBA">
            <w:pPr>
              <w:rPr>
                <w:color w:val="EE0000"/>
              </w:rPr>
            </w:pPr>
            <w:r>
              <w:rPr>
                <w:color w:val="EE0000"/>
              </w:rPr>
              <w:t>0</w:t>
            </w:r>
          </w:p>
        </w:tc>
        <w:tc>
          <w:tcPr>
            <w:tcW w:w="1542" w:type="dxa"/>
          </w:tcPr>
          <w:p w14:paraId="57E2045D" w14:textId="0B8AC935" w:rsidR="00236EBA" w:rsidRDefault="00236EBA" w:rsidP="00236EBA">
            <w:pPr>
              <w:rPr>
                <w:color w:val="EE0000"/>
              </w:rPr>
            </w:pPr>
            <w:r>
              <w:rPr>
                <w:color w:val="EE0000"/>
              </w:rPr>
              <w:t>0.75</w:t>
            </w:r>
          </w:p>
        </w:tc>
        <w:tc>
          <w:tcPr>
            <w:tcW w:w="1541" w:type="dxa"/>
          </w:tcPr>
          <w:p w14:paraId="14CE4EB6" w14:textId="17B667BA" w:rsidR="00236EBA" w:rsidRDefault="00236EBA" w:rsidP="00236EBA">
            <w:pPr>
              <w:rPr>
                <w:color w:val="EE0000"/>
              </w:rPr>
            </w:pPr>
            <w:r>
              <w:rPr>
                <w:color w:val="EE0000"/>
              </w:rPr>
              <w:t>-3</w:t>
            </w:r>
          </w:p>
        </w:tc>
        <w:tc>
          <w:tcPr>
            <w:tcW w:w="1443" w:type="dxa"/>
          </w:tcPr>
          <w:p w14:paraId="49AE574F" w14:textId="6B3BE04B" w:rsidR="00236EBA" w:rsidRDefault="00236EBA" w:rsidP="00236EBA">
            <w:pPr>
              <w:rPr>
                <w:color w:val="EE0000"/>
              </w:rPr>
            </w:pPr>
            <w:r>
              <w:rPr>
                <w:color w:val="EE0000"/>
              </w:rPr>
              <w:t>100</w:t>
            </w:r>
          </w:p>
        </w:tc>
        <w:tc>
          <w:tcPr>
            <w:tcW w:w="1575" w:type="dxa"/>
          </w:tcPr>
          <w:p w14:paraId="40585E92" w14:textId="7B417749" w:rsidR="00236EBA" w:rsidRDefault="00236EBA" w:rsidP="00236EBA">
            <w:pPr>
              <w:rPr>
                <w:color w:val="EE0000"/>
              </w:rPr>
            </w:pPr>
            <w:r>
              <w:rPr>
                <w:color w:val="EE0000"/>
              </w:rPr>
              <w:t>-300</w:t>
            </w:r>
          </w:p>
        </w:tc>
      </w:tr>
      <w:tr w:rsidR="00236EBA" w14:paraId="5260ABAE" w14:textId="77777777" w:rsidTr="00236EBA">
        <w:tc>
          <w:tcPr>
            <w:tcW w:w="1740" w:type="dxa"/>
          </w:tcPr>
          <w:p w14:paraId="7954D3AD" w14:textId="5EB33CA8" w:rsidR="00236EBA" w:rsidRDefault="00236EBA" w:rsidP="00236EBA">
            <w:pPr>
              <w:rPr>
                <w:color w:val="156082" w:themeColor="accent1"/>
              </w:rPr>
            </w:pPr>
            <w:r>
              <w:rPr>
                <w:color w:val="156082" w:themeColor="accent1"/>
              </w:rPr>
              <w:t>Edith</w:t>
            </w:r>
          </w:p>
        </w:tc>
        <w:tc>
          <w:tcPr>
            <w:tcW w:w="1509" w:type="dxa"/>
          </w:tcPr>
          <w:p w14:paraId="4649861D" w14:textId="1D2AD126" w:rsidR="00236EBA" w:rsidRDefault="00236EBA" w:rsidP="00236EBA">
            <w:pPr>
              <w:rPr>
                <w:color w:val="EE0000"/>
              </w:rPr>
            </w:pPr>
            <w:r>
              <w:rPr>
                <w:color w:val="EE0000"/>
              </w:rPr>
              <w:t>0</w:t>
            </w:r>
          </w:p>
        </w:tc>
        <w:tc>
          <w:tcPr>
            <w:tcW w:w="1542" w:type="dxa"/>
          </w:tcPr>
          <w:p w14:paraId="0DAAE087" w14:textId="52B35D4B" w:rsidR="00236EBA" w:rsidRDefault="00236EBA" w:rsidP="00236EBA">
            <w:pPr>
              <w:rPr>
                <w:color w:val="EE0000"/>
              </w:rPr>
            </w:pPr>
            <w:r>
              <w:rPr>
                <w:color w:val="EE0000"/>
              </w:rPr>
              <w:t>0.5</w:t>
            </w:r>
          </w:p>
        </w:tc>
        <w:tc>
          <w:tcPr>
            <w:tcW w:w="1541" w:type="dxa"/>
          </w:tcPr>
          <w:p w14:paraId="6F745449" w14:textId="52BC3241" w:rsidR="00236EBA" w:rsidRDefault="00236EBA" w:rsidP="00236EBA">
            <w:pPr>
              <w:rPr>
                <w:color w:val="EE0000"/>
              </w:rPr>
            </w:pPr>
            <w:r>
              <w:rPr>
                <w:color w:val="EE0000"/>
              </w:rPr>
              <w:t>-1</w:t>
            </w:r>
          </w:p>
        </w:tc>
        <w:tc>
          <w:tcPr>
            <w:tcW w:w="1443" w:type="dxa"/>
          </w:tcPr>
          <w:p w14:paraId="5CD26C07" w14:textId="03C5F5A8" w:rsidR="00236EBA" w:rsidRDefault="00236EBA" w:rsidP="00236EBA">
            <w:pPr>
              <w:rPr>
                <w:color w:val="EE0000"/>
              </w:rPr>
            </w:pPr>
            <w:r>
              <w:rPr>
                <w:color w:val="EE0000"/>
              </w:rPr>
              <w:t>25</w:t>
            </w:r>
          </w:p>
        </w:tc>
        <w:tc>
          <w:tcPr>
            <w:tcW w:w="1575" w:type="dxa"/>
          </w:tcPr>
          <w:p w14:paraId="0F873DF5" w14:textId="161895E5" w:rsidR="00236EBA" w:rsidRDefault="00236EBA" w:rsidP="00236EBA">
            <w:pPr>
              <w:rPr>
                <w:color w:val="EE0000"/>
              </w:rPr>
            </w:pPr>
            <w:r>
              <w:rPr>
                <w:color w:val="EE0000"/>
              </w:rPr>
              <w:t>-25</w:t>
            </w:r>
          </w:p>
        </w:tc>
      </w:tr>
      <w:tr w:rsidR="00236EBA" w14:paraId="356C6FEA" w14:textId="77777777" w:rsidTr="00236EBA">
        <w:tc>
          <w:tcPr>
            <w:tcW w:w="1740" w:type="dxa"/>
          </w:tcPr>
          <w:p w14:paraId="149AEE76" w14:textId="34B28464" w:rsidR="00236EBA" w:rsidRDefault="00236EBA" w:rsidP="00236EBA">
            <w:pPr>
              <w:rPr>
                <w:color w:val="156082" w:themeColor="accent1"/>
              </w:rPr>
            </w:pPr>
            <w:r>
              <w:rPr>
                <w:color w:val="156082" w:themeColor="accent1"/>
              </w:rPr>
              <w:t>Frank</w:t>
            </w:r>
          </w:p>
        </w:tc>
        <w:tc>
          <w:tcPr>
            <w:tcW w:w="1509" w:type="dxa"/>
          </w:tcPr>
          <w:p w14:paraId="16BAD8CC" w14:textId="3F8DC6DF" w:rsidR="00236EBA" w:rsidRDefault="00236EBA" w:rsidP="00236EBA">
            <w:pPr>
              <w:rPr>
                <w:color w:val="EE0000"/>
              </w:rPr>
            </w:pPr>
            <w:r>
              <w:rPr>
                <w:color w:val="EE0000"/>
              </w:rPr>
              <w:t>0</w:t>
            </w:r>
          </w:p>
        </w:tc>
        <w:tc>
          <w:tcPr>
            <w:tcW w:w="1542" w:type="dxa"/>
          </w:tcPr>
          <w:p w14:paraId="191BB8DE" w14:textId="31B4931A" w:rsidR="00236EBA" w:rsidRDefault="00236EBA" w:rsidP="00236EBA">
            <w:pPr>
              <w:rPr>
                <w:color w:val="EE0000"/>
              </w:rPr>
            </w:pPr>
            <w:r>
              <w:rPr>
                <w:color w:val="EE0000"/>
              </w:rPr>
              <w:t>0.</w:t>
            </w:r>
            <w:r w:rsidR="007946C7">
              <w:rPr>
                <w:color w:val="EE0000"/>
              </w:rPr>
              <w:t>9995</w:t>
            </w:r>
          </w:p>
        </w:tc>
        <w:tc>
          <w:tcPr>
            <w:tcW w:w="1541" w:type="dxa"/>
          </w:tcPr>
          <w:p w14:paraId="578FDD4F" w14:textId="779C33C0" w:rsidR="00236EBA" w:rsidRDefault="007946C7" w:rsidP="00236EBA">
            <w:pPr>
              <w:rPr>
                <w:color w:val="EE0000"/>
              </w:rPr>
            </w:pPr>
            <w:r>
              <w:rPr>
                <w:color w:val="EE0000"/>
              </w:rPr>
              <w:t>-0.01</w:t>
            </w:r>
          </w:p>
        </w:tc>
        <w:tc>
          <w:tcPr>
            <w:tcW w:w="1443" w:type="dxa"/>
          </w:tcPr>
          <w:p w14:paraId="452A1689" w14:textId="73879CED" w:rsidR="00236EBA" w:rsidRDefault="003E735C" w:rsidP="00236EBA">
            <w:pPr>
              <w:rPr>
                <w:color w:val="EE0000"/>
              </w:rPr>
            </w:pPr>
            <w:r>
              <w:rPr>
                <w:color w:val="EE0000"/>
              </w:rPr>
              <w:t>-50</w:t>
            </w:r>
          </w:p>
        </w:tc>
        <w:tc>
          <w:tcPr>
            <w:tcW w:w="1575" w:type="dxa"/>
          </w:tcPr>
          <w:p w14:paraId="7AAF62C1" w14:textId="0CB70AAA" w:rsidR="00236EBA" w:rsidRDefault="003E735C" w:rsidP="00236EBA">
            <w:pPr>
              <w:rPr>
                <w:color w:val="EE0000"/>
              </w:rPr>
            </w:pPr>
            <w:r>
              <w:rPr>
                <w:color w:val="EE0000"/>
              </w:rPr>
              <w:t>16.67</w:t>
            </w:r>
          </w:p>
        </w:tc>
      </w:tr>
    </w:tbl>
    <w:p w14:paraId="789CCD77" w14:textId="71E64FC2" w:rsidR="00236EBA" w:rsidRDefault="00236EBA" w:rsidP="00236EBA">
      <w:pPr>
        <w:rPr>
          <w:color w:val="EE0000"/>
        </w:rPr>
      </w:pPr>
    </w:p>
    <w:p w14:paraId="1EAA1CBD" w14:textId="40C6F5E4" w:rsidR="00236EBA" w:rsidRDefault="00236EBA" w:rsidP="00236EBA">
      <w:pPr>
        <w:rPr>
          <w:color w:val="EE0000"/>
        </w:rPr>
      </w:pPr>
      <w:r>
        <w:rPr>
          <w:color w:val="EE0000"/>
        </w:rPr>
        <w:t>IPW = (D-p)/(1-p)</w:t>
      </w:r>
    </w:p>
    <w:p w14:paraId="7CB9E785" w14:textId="47CFE940" w:rsidR="00236EBA" w:rsidRDefault="00236EBA" w:rsidP="00236EBA">
      <w:pPr>
        <w:rPr>
          <w:color w:val="EE0000"/>
        </w:rPr>
      </w:pPr>
      <w:r>
        <w:rPr>
          <w:color w:val="EE0000"/>
        </w:rPr>
        <w:t>Alan. Alan has a propensity score of 0.75. What does that mean? That means out of everyone who has X values like Alan, 75% of them are in the treatment group. If X is male, it basically means something like this: there are 100 males in the data and 75 of them are in the treatment group. His IPW is (D-p)/(1-p) = (1-p)/(1-p) = 1</w:t>
      </w:r>
    </w:p>
    <w:p w14:paraId="435274E6" w14:textId="06D12328" w:rsidR="00236EBA" w:rsidRDefault="00236EBA" w:rsidP="00236EBA">
      <w:pPr>
        <w:rPr>
          <w:color w:val="EE0000"/>
        </w:rPr>
      </w:pPr>
      <w:r>
        <w:rPr>
          <w:color w:val="EE0000"/>
        </w:rPr>
        <w:t xml:space="preserve">Daniel. Daniel has a propensity score of 0.75 also. What does that mean? That means out of everyone who has X values like Daniel, 75% of them are in the treatment group. But Daniel isn’t. Daniel is one of the 25 out of 100 who is not in the treatment group </w:t>
      </w:r>
      <w:r>
        <w:rPr>
          <w:i/>
          <w:iCs/>
          <w:color w:val="EE0000"/>
        </w:rPr>
        <w:t>but looks like he would be</w:t>
      </w:r>
      <w:r>
        <w:rPr>
          <w:color w:val="EE0000"/>
        </w:rPr>
        <w:t>. His IPW is (D-p)/(1-p) = (0-p)/(1-p) = -p/(1-p) = -0.75</w:t>
      </w:r>
      <w:proofErr w:type="gramStart"/>
      <w:r>
        <w:rPr>
          <w:color w:val="EE0000"/>
        </w:rPr>
        <w:t>/(</w:t>
      </w:r>
      <w:proofErr w:type="gramEnd"/>
      <w:r>
        <w:rPr>
          <w:color w:val="EE0000"/>
        </w:rPr>
        <w:t>1-0.75) = -0.75/0.25 = -3</w:t>
      </w:r>
    </w:p>
    <w:p w14:paraId="2AB9E20F" w14:textId="702CDE97" w:rsidR="003E735C" w:rsidRDefault="003E735C" w:rsidP="003E735C">
      <w:pPr>
        <w:pStyle w:val="ListParagraph"/>
        <w:numPr>
          <w:ilvl w:val="0"/>
          <w:numId w:val="1"/>
        </w:numPr>
        <w:rPr>
          <w:color w:val="EE0000"/>
        </w:rPr>
      </w:pPr>
      <w:r>
        <w:rPr>
          <w:color w:val="EE0000"/>
        </w:rPr>
        <w:t>You are not being reweighted unless you are in the control group</w:t>
      </w:r>
    </w:p>
    <w:p w14:paraId="1288E458" w14:textId="727664AF" w:rsidR="003E735C" w:rsidRDefault="003E735C" w:rsidP="003E735C">
      <w:pPr>
        <w:pStyle w:val="ListParagraph"/>
        <w:numPr>
          <w:ilvl w:val="0"/>
          <w:numId w:val="1"/>
        </w:numPr>
        <w:rPr>
          <w:color w:val="EE0000"/>
        </w:rPr>
      </w:pPr>
      <w:r>
        <w:rPr>
          <w:color w:val="EE0000"/>
        </w:rPr>
        <w:t xml:space="preserve">You are reweighting your </w:t>
      </w:r>
      <w:r>
        <w:rPr>
          <w:i/>
          <w:iCs/>
          <w:color w:val="EE0000"/>
        </w:rPr>
        <w:t>first difference</w:t>
      </w:r>
      <w:r>
        <w:rPr>
          <w:color w:val="EE0000"/>
        </w:rPr>
        <w:t xml:space="preserve"> because remember fixed effects regressions are first difference regressions too. </w:t>
      </w:r>
    </w:p>
    <w:p w14:paraId="2AC61E34" w14:textId="16F2ED4C" w:rsidR="003E735C" w:rsidRDefault="003E735C" w:rsidP="003E735C">
      <w:pPr>
        <w:pStyle w:val="ListParagraph"/>
        <w:numPr>
          <w:ilvl w:val="0"/>
          <w:numId w:val="1"/>
        </w:numPr>
        <w:rPr>
          <w:color w:val="EE0000"/>
        </w:rPr>
      </w:pPr>
      <w:r>
        <w:rPr>
          <w:color w:val="EE0000"/>
        </w:rPr>
        <w:t xml:space="preserve">You are not being reweighted by the propensity score. You are being reweighted by </w:t>
      </w:r>
      <w:r>
        <w:rPr>
          <w:i/>
          <w:iCs/>
          <w:color w:val="EE0000"/>
        </w:rPr>
        <w:t>the inverse of the propensity score</w:t>
      </w:r>
      <w:r>
        <w:rPr>
          <w:color w:val="EE0000"/>
        </w:rPr>
        <w:t xml:space="preserve"> which is (D-p)/(1-p)</w:t>
      </w:r>
    </w:p>
    <w:p w14:paraId="750CA2F7" w14:textId="41BC708F" w:rsidR="003E735C" w:rsidRPr="003E735C" w:rsidRDefault="003E735C" w:rsidP="003E735C">
      <w:pPr>
        <w:pStyle w:val="ListParagraph"/>
        <w:numPr>
          <w:ilvl w:val="0"/>
          <w:numId w:val="1"/>
        </w:numPr>
        <w:rPr>
          <w:color w:val="EE0000"/>
        </w:rPr>
      </w:pPr>
      <w:r>
        <w:rPr>
          <w:color w:val="EE0000"/>
        </w:rPr>
        <w:lastRenderedPageBreak/>
        <w:t xml:space="preserve">You take the sample average of every </w:t>
      </w:r>
      <w:proofErr w:type="gramStart"/>
      <w:r>
        <w:rPr>
          <w:color w:val="EE0000"/>
        </w:rPr>
        <w:t>units</w:t>
      </w:r>
      <w:proofErr w:type="gramEnd"/>
      <w:r>
        <w:rPr>
          <w:color w:val="EE0000"/>
        </w:rPr>
        <w:t xml:space="preserve"> IPW x Delta Y even the treatment group. </w:t>
      </w:r>
    </w:p>
    <w:p w14:paraId="4138DB85" w14:textId="77777777" w:rsidR="00236EBA" w:rsidRDefault="00236EBA" w:rsidP="00236EBA">
      <w:pPr>
        <w:rPr>
          <w:color w:val="EE0000"/>
        </w:rPr>
      </w:pPr>
    </w:p>
    <w:p w14:paraId="74A7B8CE" w14:textId="55C5CD9E" w:rsidR="00236EBA" w:rsidRDefault="003E735C">
      <w:r>
        <w:t>The assumptions needed for Abadie’s IPW method:</w:t>
      </w:r>
    </w:p>
    <w:p w14:paraId="3825A929" w14:textId="379C1765" w:rsidR="003E735C" w:rsidRDefault="003E735C" w:rsidP="003E735C">
      <w:pPr>
        <w:pStyle w:val="ListParagraph"/>
        <w:numPr>
          <w:ilvl w:val="0"/>
          <w:numId w:val="2"/>
        </w:numPr>
      </w:pPr>
      <w:r>
        <w:t>Conditional parallel trends, No anticipation, untreated comparison group, no spillovers</w:t>
      </w:r>
    </w:p>
    <w:p w14:paraId="2A56D86D" w14:textId="1510EB9E" w:rsidR="003E735C" w:rsidRDefault="003E735C" w:rsidP="003E735C">
      <w:pPr>
        <w:pStyle w:val="ListParagraph"/>
        <w:numPr>
          <w:ilvl w:val="0"/>
          <w:numId w:val="2"/>
        </w:numPr>
      </w:pPr>
      <w:r>
        <w:t>Common support</w:t>
      </w:r>
    </w:p>
    <w:p w14:paraId="14EC6B27" w14:textId="3AE7F0AD" w:rsidR="003E735C" w:rsidRDefault="003E735C" w:rsidP="003E735C">
      <w:pPr>
        <w:pStyle w:val="ListParagraph"/>
        <w:numPr>
          <w:ilvl w:val="0"/>
          <w:numId w:val="2"/>
        </w:numPr>
      </w:pPr>
      <w:r>
        <w:t>The propensity score must be correctly specified</w:t>
      </w:r>
    </w:p>
    <w:p w14:paraId="42E47287" w14:textId="2D62F9E6" w:rsidR="003E735C" w:rsidRDefault="003E735C" w:rsidP="003E735C">
      <w:r>
        <w:t xml:space="preserve">The reason that the propensity score must be correctly specified is you are using a logistic regression to predict the conditional probability of treatment. And if you don’t have that “probability formula” correct, then the predicted propensity score will not be correct and therefore IPW will not be correct and therefore IPW x Delta Y will not be correct. And </w:t>
      </w:r>
      <w:proofErr w:type="gramStart"/>
      <w:r>
        <w:t>therefore</w:t>
      </w:r>
      <w:proofErr w:type="gramEnd"/>
      <w:r>
        <w:t xml:space="preserve"> Estimated ATT not the ATT.</w:t>
      </w:r>
    </w:p>
    <w:p w14:paraId="6D51E42B" w14:textId="77777777" w:rsidR="007946C7" w:rsidRDefault="007946C7" w:rsidP="003E735C"/>
    <w:p w14:paraId="3A9701EB" w14:textId="0ECA4B46" w:rsidR="007946C7" w:rsidRDefault="00681FA8" w:rsidP="003E735C">
      <w:r>
        <w:t>Three</w:t>
      </w:r>
      <w:r w:rsidR="007946C7">
        <w:t xml:space="preserve"> covariates. Male (0,1), Old (0,1)</w:t>
      </w:r>
      <w:r>
        <w:t>, White (0,1)</w:t>
      </w:r>
    </w:p>
    <w:p w14:paraId="3F7DB84F" w14:textId="11946290" w:rsidR="00681FA8" w:rsidRDefault="00681FA8" w:rsidP="003E735C">
      <w:r>
        <w:t>Old white male</w:t>
      </w:r>
    </w:p>
    <w:p w14:paraId="2CBA6918" w14:textId="473D1AE2" w:rsidR="00681FA8" w:rsidRDefault="00681FA8" w:rsidP="003E735C">
      <w:r>
        <w:t>Old white female</w:t>
      </w:r>
    </w:p>
    <w:p w14:paraId="0B17F220" w14:textId="23EE7934" w:rsidR="00681FA8" w:rsidRDefault="00681FA8" w:rsidP="003E735C">
      <w:r>
        <w:t>Young white male</w:t>
      </w:r>
    </w:p>
    <w:p w14:paraId="6DB4BD11" w14:textId="7CA47634" w:rsidR="00681FA8" w:rsidRDefault="00681FA8" w:rsidP="003E735C">
      <w:r>
        <w:t>Young white female</w:t>
      </w:r>
    </w:p>
    <w:p w14:paraId="2475871C" w14:textId="1C077241" w:rsidR="00681FA8" w:rsidRDefault="00681FA8" w:rsidP="00681FA8">
      <w:r>
        <w:t xml:space="preserve">Old </w:t>
      </w:r>
      <w:r>
        <w:t>non</w:t>
      </w:r>
      <w:r>
        <w:t>white male</w:t>
      </w:r>
    </w:p>
    <w:p w14:paraId="4BCCF298" w14:textId="421F8391" w:rsidR="00681FA8" w:rsidRDefault="00681FA8" w:rsidP="00681FA8">
      <w:r>
        <w:t xml:space="preserve">Old </w:t>
      </w:r>
      <w:r>
        <w:t>non</w:t>
      </w:r>
      <w:r>
        <w:t>white female</w:t>
      </w:r>
    </w:p>
    <w:p w14:paraId="10839E9E" w14:textId="40D84F98" w:rsidR="00681FA8" w:rsidRDefault="00681FA8" w:rsidP="00681FA8">
      <w:r>
        <w:t xml:space="preserve">Young </w:t>
      </w:r>
      <w:r>
        <w:t>non</w:t>
      </w:r>
      <w:r>
        <w:t>white male</w:t>
      </w:r>
    </w:p>
    <w:p w14:paraId="2468CE5E" w14:textId="45D0C719" w:rsidR="00681FA8" w:rsidRDefault="00681FA8" w:rsidP="00681FA8">
      <w:r>
        <w:t xml:space="preserve">Young </w:t>
      </w:r>
      <w:r>
        <w:t>non</w:t>
      </w:r>
      <w:r>
        <w:t>white female</w:t>
      </w:r>
    </w:p>
    <w:p w14:paraId="558461B2" w14:textId="66F60DEF" w:rsidR="00681FA8" w:rsidRDefault="00681FA8" w:rsidP="003E735C">
      <w:r>
        <w:t xml:space="preserve">Three covariates, but we have 8 dimensions. Dimensions or </w:t>
      </w:r>
      <w:proofErr w:type="spellStart"/>
      <w:r>
        <w:t>stata</w:t>
      </w:r>
      <w:proofErr w:type="spellEnd"/>
      <w:r>
        <w:t xml:space="preserve"> are where curses happen. 2^k. 10 covariates that are dummies, 2^10=1,024 dimensions. Which means at minimum you need 2,048 observations. </w:t>
      </w:r>
    </w:p>
    <w:sectPr w:rsidR="00681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42D10"/>
    <w:multiLevelType w:val="hybridMultilevel"/>
    <w:tmpl w:val="E3C45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30537B"/>
    <w:multiLevelType w:val="hybridMultilevel"/>
    <w:tmpl w:val="F63E2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0267085">
    <w:abstractNumId w:val="0"/>
  </w:num>
  <w:num w:numId="2" w16cid:durableId="187754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BA"/>
    <w:rsid w:val="00032B2E"/>
    <w:rsid w:val="00236EBA"/>
    <w:rsid w:val="003B4D39"/>
    <w:rsid w:val="003E735C"/>
    <w:rsid w:val="00622D22"/>
    <w:rsid w:val="00681FA8"/>
    <w:rsid w:val="007946C7"/>
    <w:rsid w:val="00A2740F"/>
    <w:rsid w:val="00D237D7"/>
    <w:rsid w:val="00E0140D"/>
    <w:rsid w:val="00FF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1D404"/>
  <w15:chartTrackingRefBased/>
  <w15:docId w15:val="{47590581-D653-3D44-B53E-FD8C947A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BA"/>
    <w:rPr>
      <w:rFonts w:eastAsiaTheme="majorEastAsia" w:cstheme="majorBidi"/>
      <w:color w:val="272727" w:themeColor="text1" w:themeTint="D8"/>
    </w:rPr>
  </w:style>
  <w:style w:type="paragraph" w:styleId="Title">
    <w:name w:val="Title"/>
    <w:basedOn w:val="Normal"/>
    <w:next w:val="Normal"/>
    <w:link w:val="TitleChar"/>
    <w:uiPriority w:val="10"/>
    <w:qFormat/>
    <w:rsid w:val="00236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BA"/>
    <w:pPr>
      <w:spacing w:before="160"/>
      <w:jc w:val="center"/>
    </w:pPr>
    <w:rPr>
      <w:i/>
      <w:iCs/>
      <w:color w:val="404040" w:themeColor="text1" w:themeTint="BF"/>
    </w:rPr>
  </w:style>
  <w:style w:type="character" w:customStyle="1" w:styleId="QuoteChar">
    <w:name w:val="Quote Char"/>
    <w:basedOn w:val="DefaultParagraphFont"/>
    <w:link w:val="Quote"/>
    <w:uiPriority w:val="29"/>
    <w:rsid w:val="00236EBA"/>
    <w:rPr>
      <w:i/>
      <w:iCs/>
      <w:color w:val="404040" w:themeColor="text1" w:themeTint="BF"/>
    </w:rPr>
  </w:style>
  <w:style w:type="paragraph" w:styleId="ListParagraph">
    <w:name w:val="List Paragraph"/>
    <w:basedOn w:val="Normal"/>
    <w:uiPriority w:val="34"/>
    <w:qFormat/>
    <w:rsid w:val="00236EBA"/>
    <w:pPr>
      <w:ind w:left="720"/>
      <w:contextualSpacing/>
    </w:pPr>
  </w:style>
  <w:style w:type="character" w:styleId="IntenseEmphasis">
    <w:name w:val="Intense Emphasis"/>
    <w:basedOn w:val="DefaultParagraphFont"/>
    <w:uiPriority w:val="21"/>
    <w:qFormat/>
    <w:rsid w:val="00236EBA"/>
    <w:rPr>
      <w:i/>
      <w:iCs/>
      <w:color w:val="0F4761" w:themeColor="accent1" w:themeShade="BF"/>
    </w:rPr>
  </w:style>
  <w:style w:type="paragraph" w:styleId="IntenseQuote">
    <w:name w:val="Intense Quote"/>
    <w:basedOn w:val="Normal"/>
    <w:next w:val="Normal"/>
    <w:link w:val="IntenseQuoteChar"/>
    <w:uiPriority w:val="30"/>
    <w:qFormat/>
    <w:rsid w:val="00236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EBA"/>
    <w:rPr>
      <w:i/>
      <w:iCs/>
      <w:color w:val="0F4761" w:themeColor="accent1" w:themeShade="BF"/>
    </w:rPr>
  </w:style>
  <w:style w:type="character" w:styleId="IntenseReference">
    <w:name w:val="Intense Reference"/>
    <w:basedOn w:val="DefaultParagraphFont"/>
    <w:uiPriority w:val="32"/>
    <w:qFormat/>
    <w:rsid w:val="00236EBA"/>
    <w:rPr>
      <w:b/>
      <w:bCs/>
      <w:smallCaps/>
      <w:color w:val="0F4761" w:themeColor="accent1" w:themeShade="BF"/>
      <w:spacing w:val="5"/>
    </w:rPr>
  </w:style>
  <w:style w:type="table" w:styleId="TableGrid">
    <w:name w:val="Table Grid"/>
    <w:basedOn w:val="TableNormal"/>
    <w:uiPriority w:val="39"/>
    <w:rsid w:val="00236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410</Words>
  <Characters>2120</Characters>
  <Application>Microsoft Office Word</Application>
  <DocSecurity>0</DocSecurity>
  <Lines>36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Cunningham</dc:creator>
  <cp:keywords/>
  <dc:description/>
  <cp:lastModifiedBy>Scott Cunningham</cp:lastModifiedBy>
  <cp:revision>2</cp:revision>
  <dcterms:created xsi:type="dcterms:W3CDTF">2026-05-26T12:58:00Z</dcterms:created>
  <dcterms:modified xsi:type="dcterms:W3CDTF">2026-06-01T15:51:00Z</dcterms:modified>
</cp:coreProperties>
</file>