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Light" w:hAnsi="微软雅黑 Light" w:eastAsia="微软雅黑 Light" w:cs="微软雅黑 Light"/>
          <w:sz w:val="18"/>
          <w:szCs w:val="18"/>
        </w:rPr>
      </w:pPr>
    </w:p>
    <w:p>
      <w:pPr>
        <w:ind w:firstLine="420" w:firstLineChars="0"/>
        <w:rPr>
          <w:rFonts w:hint="eastAsia"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康泰生物早在1992年9月就已成立，最早是国有公司和杜伟民并无关系，长年占据乙肝疫苗市50%以上的份额，但由于产品线单一，早期在业绩上始终未能达到上市标准。</w:t>
      </w:r>
    </w:p>
    <w:p>
      <w:pPr>
        <w:ind w:firstLine="420" w:firstLineChars="0"/>
        <w:rPr>
          <w:rFonts w:hint="eastAsia"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2008年6月4日彼时康泰生物的实控方国家开发投资公司以丰富产品线为由计划重组民海生物。2008年8月15日，康泰生物股东大会审议通过深圳瑞源达（注：杜伟民及其妻子持有100%瑞源达的股权）、王峰和郑海发以民海生物100%股权作价24289万元认购康泰生物增发的18200万股股份的决议。</w:t>
      </w:r>
    </w:p>
    <w:p>
      <w:pPr>
        <w:ind w:firstLine="420" w:firstLineChars="0"/>
        <w:rPr>
          <w:rFonts w:hint="eastAsia"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其中杜伟民所有的深圳瑞源达受让康泰生物38.75%股权，成为第一大股东，其本人担任董事长、总经理，成功入主康泰生物。此后康泰生物的四家原国有股东国投高科、北高新、湖南高科、上海华瑞陆续以低于成本的价格向杜伟民转让持股。</w:t>
      </w:r>
    </w:p>
    <w:p>
      <w:pPr>
        <w:ind w:firstLine="420" w:firstLineChars="0"/>
        <w:rPr>
          <w:rFonts w:hint="eastAsia" w:ascii="微软雅黑 Light" w:hAnsi="微软雅黑 Light" w:eastAsia="微软雅黑 Light" w:cs="微软雅黑 Light"/>
          <w:sz w:val="18"/>
          <w:szCs w:val="18"/>
          <w:lang w:eastAsia="zh-CN"/>
        </w:rPr>
      </w:pPr>
      <w:r>
        <w:rPr>
          <w:rFonts w:hint="eastAsia" w:ascii="微软雅黑 Light" w:hAnsi="微软雅黑 Light" w:eastAsia="微软雅黑 Light" w:cs="微软雅黑 Light"/>
          <w:sz w:val="18"/>
          <w:szCs w:val="18"/>
        </w:rPr>
        <w:t>以低成本（1.7元-2.18元/股）从国有股东手中接过后，杜伟民向机构和自然人高价（15元/股）转让部分持股，受让方包括磐霖资本、招银国际等投资机构</w:t>
      </w:r>
      <w:r>
        <w:rPr>
          <w:rFonts w:hint="eastAsia" w:ascii="微软雅黑 Light" w:hAnsi="微软雅黑 Light" w:eastAsia="微软雅黑 Light" w:cs="微软雅黑 Light"/>
          <w:sz w:val="18"/>
          <w:szCs w:val="18"/>
          <w:lang w:eastAsia="zh-CN"/>
        </w:rPr>
        <w:t>。</w:t>
      </w:r>
    </w:p>
    <w:p>
      <w:pPr>
        <w:ind w:firstLine="420" w:firstLineChars="0"/>
        <w:rPr>
          <w:rFonts w:hint="eastAsia" w:ascii="微软雅黑 Light" w:hAnsi="微软雅黑 Light" w:eastAsia="微软雅黑 Light" w:cs="微软雅黑 Light"/>
          <w:sz w:val="18"/>
          <w:szCs w:val="18"/>
          <w:lang w:eastAsia="zh-CN"/>
        </w:rPr>
      </w:pPr>
      <w:bookmarkStart w:id="0" w:name="_GoBack"/>
      <w:bookmarkEnd w:id="0"/>
      <w:r>
        <w:rPr>
          <w:rFonts w:hint="eastAsia" w:ascii="微软雅黑 Light" w:hAnsi="微软雅黑 Light" w:eastAsia="微软雅黑 Light" w:cs="微软雅黑 Light"/>
          <w:sz w:val="18"/>
          <w:szCs w:val="18"/>
          <w:lang w:eastAsia="zh-CN"/>
        </w:rPr>
        <w:t>据统计，上市前杜伟民在康泰生物上总计投入3.68亿元，对外转让所得就已达5.31亿元超过成本，而2017年上市时其还持有康泰生物62.16%的股份，资本运作手段惊人。</w:t>
      </w:r>
    </w:p>
    <w:p>
      <w:pPr>
        <w:rPr>
          <w:rFonts w:hint="eastAsia" w:ascii="微软雅黑 Light" w:hAnsi="微软雅黑 Light" w:eastAsia="微软雅黑 Light" w:cs="微软雅黑 Light"/>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C003C5"/>
    <w:rsid w:val="1A2567D6"/>
    <w:rsid w:val="4036045C"/>
    <w:rsid w:val="488A7C7F"/>
    <w:rsid w:val="692620B2"/>
    <w:rsid w:val="6E424EEB"/>
    <w:rsid w:val="71517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123456</dc:creator>
  <cp:lastModifiedBy>123456</cp:lastModifiedBy>
  <dcterms:modified xsi:type="dcterms:W3CDTF">2021-03-17T09:49:22Z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