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eastAsia="黑体"/>
          <w:b/>
          <w:sz w:val="72"/>
        </w:rPr>
      </w:pPr>
      <w:r>
        <w:drawing>
          <wp:anchor distT="0" distB="0" distL="114300" distR="114300" simplePos="0" relativeHeight="251659264" behindDoc="1" locked="0" layoutInCell="1" allowOverlap="1">
            <wp:simplePos x="0" y="0"/>
            <wp:positionH relativeFrom="column">
              <wp:posOffset>356235</wp:posOffset>
            </wp:positionH>
            <wp:positionV relativeFrom="paragraph">
              <wp:posOffset>218440</wp:posOffset>
            </wp:positionV>
            <wp:extent cx="4495800" cy="12661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495800" cy="1266190"/>
                    </a:xfrm>
                    <a:prstGeom prst="rect">
                      <a:avLst/>
                    </a:prstGeom>
                    <a:noFill/>
                    <a:ln>
                      <a:noFill/>
                    </a:ln>
                  </pic:spPr>
                </pic:pic>
              </a:graphicData>
            </a:graphic>
          </wp:anchor>
        </w:drawing>
      </w:r>
    </w:p>
    <w:p>
      <w:pPr>
        <w:spacing w:line="300" w:lineRule="auto"/>
        <w:rPr>
          <w:rFonts w:eastAsia="黑体"/>
          <w:bCs/>
          <w:sz w:val="84"/>
          <w:szCs w:val="84"/>
        </w:rPr>
      </w:pPr>
    </w:p>
    <w:p>
      <w:pPr>
        <w:spacing w:line="300" w:lineRule="auto"/>
        <w:rPr>
          <w:rFonts w:eastAsia="黑体"/>
          <w:bCs/>
          <w:sz w:val="52"/>
          <w:szCs w:val="52"/>
        </w:rPr>
      </w:pPr>
    </w:p>
    <w:p>
      <w:pPr>
        <w:spacing w:line="300" w:lineRule="auto"/>
        <w:rPr>
          <w:rFonts w:eastAsia="黑体"/>
          <w:bCs/>
          <w:sz w:val="52"/>
          <w:szCs w:val="52"/>
        </w:rPr>
      </w:pPr>
    </w:p>
    <w:p>
      <w:pPr>
        <w:jc w:val="center"/>
        <w:rPr>
          <w:rFonts w:eastAsia="黑体"/>
          <w:bCs/>
          <w:sz w:val="84"/>
          <w:szCs w:val="84"/>
        </w:rPr>
      </w:pPr>
      <w:r>
        <w:rPr>
          <w:rFonts w:hint="eastAsia" w:eastAsia="黑体"/>
          <w:bCs/>
          <w:sz w:val="84"/>
          <w:szCs w:val="84"/>
        </w:rPr>
        <w:t>可行性分析报告</w:t>
      </w:r>
    </w:p>
    <w:p>
      <w:pPr>
        <w:jc w:val="center"/>
        <w:rPr>
          <w:rFonts w:eastAsia="黑体"/>
          <w:bCs/>
          <w:sz w:val="40"/>
          <w:szCs w:val="40"/>
        </w:rPr>
      </w:pPr>
    </w:p>
    <w:p>
      <w:pPr>
        <w:jc w:val="center"/>
        <w:rPr>
          <w:rFonts w:eastAsia="黑体"/>
          <w:b/>
          <w:sz w:val="28"/>
        </w:rPr>
      </w:pPr>
    </w:p>
    <w:p>
      <w:pPr>
        <w:spacing w:line="300" w:lineRule="auto"/>
        <w:rPr>
          <w:rFonts w:eastAsia="黑体"/>
          <w:sz w:val="22"/>
          <w:szCs w:val="21"/>
        </w:rPr>
      </w:pPr>
    </w:p>
    <w:p>
      <w:pPr>
        <w:spacing w:line="300" w:lineRule="auto"/>
        <w:ind w:left="210" w:leftChars="100" w:firstLine="247" w:firstLineChars="103"/>
        <w:rPr>
          <w:rFonts w:eastAsia="黑体"/>
          <w:sz w:val="24"/>
          <w:szCs w:val="24"/>
        </w:rPr>
      </w:pPr>
      <w:r>
        <w:rPr>
          <w:rFonts w:eastAsia="黑体"/>
          <w:sz w:val="24"/>
          <w:szCs w:val="24"/>
        </w:rPr>
        <w:t xml:space="preserve">                              </w:t>
      </w:r>
    </w:p>
    <w:p>
      <w:pPr>
        <w:tabs>
          <w:tab w:val="left" w:pos="7005"/>
        </w:tabs>
        <w:spacing w:line="300" w:lineRule="auto"/>
        <w:ind w:firstLine="960" w:firstLineChars="300"/>
        <w:rPr>
          <w:sz w:val="32"/>
          <w:szCs w:val="32"/>
        </w:rPr>
      </w:pPr>
      <w:r>
        <w:rPr>
          <w:rFonts w:hint="eastAsia" w:hAnsi="宋体"/>
          <w:sz w:val="32"/>
          <w:szCs w:val="32"/>
        </w:rPr>
        <w:t>项目名称</w:t>
      </w:r>
      <w:r>
        <w:rPr>
          <w:sz w:val="32"/>
          <w:szCs w:val="32"/>
        </w:rPr>
        <w:t xml:space="preserve">  </w:t>
      </w:r>
      <w:r>
        <w:rPr>
          <w:bCs/>
          <w:sz w:val="32"/>
          <w:szCs w:val="32"/>
          <w:u w:val="single"/>
        </w:rPr>
        <w:t xml:space="preserve">      </w:t>
      </w:r>
      <w:r>
        <w:rPr>
          <w:rFonts w:hint="eastAsia" w:hAnsi="宋体"/>
          <w:bCs/>
          <w:sz w:val="32"/>
          <w:szCs w:val="32"/>
          <w:u w:val="single"/>
        </w:rPr>
        <w:t xml:space="preserve">       </w:t>
      </w:r>
      <w:r>
        <w:rPr>
          <w:rFonts w:hint="eastAsia"/>
          <w:sz w:val="32"/>
          <w:szCs w:val="32"/>
          <w:u w:val="single"/>
        </w:rPr>
        <w:t>博青秀</w:t>
      </w:r>
      <w:r>
        <w:rPr>
          <w:rFonts w:hint="eastAsia" w:hAnsi="宋体"/>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pPr>
        <w:tabs>
          <w:tab w:val="left" w:pos="7005"/>
        </w:tabs>
        <w:spacing w:line="300" w:lineRule="auto"/>
        <w:ind w:firstLine="960" w:firstLineChars="300"/>
        <w:rPr>
          <w:sz w:val="32"/>
          <w:szCs w:val="32"/>
        </w:rPr>
      </w:pPr>
      <w:r>
        <w:rPr>
          <w:rFonts w:hint="eastAsia" w:hAnsi="宋体"/>
          <w:sz w:val="32"/>
          <w:szCs w:val="32"/>
        </w:rPr>
        <w:t>年级专业</w:t>
      </w:r>
      <w:r>
        <w:rPr>
          <w:sz w:val="32"/>
          <w:szCs w:val="32"/>
        </w:rPr>
        <w:t xml:space="preserve">  </w:t>
      </w:r>
      <w:r>
        <w:rPr>
          <w:rFonts w:hint="eastAsia" w:hAnsi="宋体"/>
          <w:bCs/>
          <w:sz w:val="32"/>
          <w:szCs w:val="32"/>
          <w:u w:val="single"/>
        </w:rPr>
        <w:t xml:space="preserve">          计算机2002班          </w:t>
      </w:r>
    </w:p>
    <w:p>
      <w:pPr>
        <w:spacing w:line="300" w:lineRule="auto"/>
        <w:rPr>
          <w:sz w:val="32"/>
          <w:szCs w:val="32"/>
        </w:rPr>
      </w:pPr>
      <w:r>
        <w:rPr>
          <w:sz w:val="32"/>
          <w:szCs w:val="32"/>
        </w:rPr>
        <w:t xml:space="preserve">    </w:t>
      </w:r>
      <w:r>
        <w:rPr>
          <w:rFonts w:hint="eastAsia"/>
          <w:sz w:val="32"/>
          <w:szCs w:val="32"/>
        </w:rPr>
        <w:t xml:space="preserve">  </w:t>
      </w:r>
      <w:r>
        <w:rPr>
          <w:rFonts w:hint="eastAsia" w:hAnsi="宋体"/>
          <w:sz w:val="32"/>
          <w:szCs w:val="32"/>
        </w:rPr>
        <w:t>组</w:t>
      </w:r>
      <w:r>
        <w:rPr>
          <w:sz w:val="32"/>
          <w:szCs w:val="32"/>
        </w:rPr>
        <w:t xml:space="preserve">    </w:t>
      </w:r>
      <w:r>
        <w:rPr>
          <w:rFonts w:hint="eastAsia" w:hAnsi="宋体"/>
          <w:sz w:val="32"/>
          <w:szCs w:val="32"/>
        </w:rPr>
        <w:t>长</w:t>
      </w:r>
      <w:r>
        <w:rPr>
          <w:sz w:val="32"/>
          <w:szCs w:val="32"/>
        </w:rPr>
        <w:t xml:space="preserve">  </w:t>
      </w:r>
      <w:r>
        <w:rPr>
          <w:rFonts w:hint="eastAsia"/>
          <w:sz w:val="32"/>
          <w:szCs w:val="32"/>
          <w:u w:val="single"/>
        </w:rPr>
        <w:t xml:space="preserve">             司晨旭              </w:t>
      </w:r>
    </w:p>
    <w:p>
      <w:pPr>
        <w:tabs>
          <w:tab w:val="left" w:pos="7020"/>
        </w:tabs>
        <w:spacing w:line="300" w:lineRule="auto"/>
        <w:ind w:firstLine="960" w:firstLineChars="300"/>
        <w:rPr>
          <w:sz w:val="32"/>
          <w:szCs w:val="32"/>
        </w:rPr>
      </w:pPr>
      <w:r>
        <w:rPr>
          <w:rFonts w:hint="eastAsia" w:hAnsi="宋体"/>
          <w:sz w:val="32"/>
          <w:szCs w:val="32"/>
        </w:rPr>
        <w:t>小组成员</w:t>
      </w:r>
      <w:r>
        <w:rPr>
          <w:sz w:val="32"/>
          <w:szCs w:val="32"/>
        </w:rPr>
        <w:t xml:space="preserve">  </w:t>
      </w:r>
      <w:r>
        <w:rPr>
          <w:rFonts w:hint="eastAsia"/>
          <w:color w:val="000000"/>
          <w:sz w:val="32"/>
          <w:szCs w:val="32"/>
          <w:u w:val="single"/>
        </w:rPr>
        <w:t xml:space="preserve">          吴佳丽、吴卓霖         </w:t>
      </w:r>
    </w:p>
    <w:p>
      <w:pPr>
        <w:tabs>
          <w:tab w:val="left" w:pos="7020"/>
        </w:tabs>
        <w:spacing w:line="300" w:lineRule="auto"/>
        <w:rPr>
          <w:rFonts w:eastAsia="黑体"/>
          <w:b/>
          <w:sz w:val="32"/>
          <w:szCs w:val="32"/>
        </w:rPr>
      </w:pPr>
      <w:r>
        <w:rPr>
          <w:sz w:val="32"/>
          <w:szCs w:val="32"/>
        </w:rPr>
        <w:t xml:space="preserve">    </w:t>
      </w:r>
      <w:r>
        <w:rPr>
          <w:rFonts w:hint="eastAsia"/>
          <w:sz w:val="32"/>
          <w:szCs w:val="32"/>
        </w:rPr>
        <w:t xml:space="preserve">  </w:t>
      </w:r>
      <w:r>
        <w:rPr>
          <w:rFonts w:hAnsi="宋体"/>
          <w:sz w:val="32"/>
          <w:szCs w:val="32"/>
        </w:rPr>
        <w:t>指导教师</w:t>
      </w:r>
      <w:r>
        <w:rPr>
          <w:sz w:val="32"/>
          <w:szCs w:val="32"/>
        </w:rPr>
        <w:t xml:space="preserve">  </w:t>
      </w:r>
      <w:r>
        <w:rPr>
          <w:rFonts w:hint="eastAsia" w:hAnsi="宋体"/>
          <w:color w:val="000000"/>
          <w:sz w:val="32"/>
          <w:szCs w:val="32"/>
          <w:u w:val="single"/>
        </w:rPr>
        <w:t xml:space="preserve">           杨枨、苏奎            </w:t>
      </w:r>
    </w:p>
    <w:p>
      <w:pPr>
        <w:spacing w:line="300" w:lineRule="auto"/>
        <w:jc w:val="center"/>
        <w:rPr>
          <w:b/>
          <w:bCs/>
          <w:sz w:val="36"/>
          <w:szCs w:val="36"/>
        </w:rPr>
      </w:pPr>
    </w:p>
    <w:p>
      <w:pPr>
        <w:spacing w:line="300" w:lineRule="auto"/>
        <w:rPr>
          <w:sz w:val="36"/>
          <w:szCs w:val="36"/>
        </w:rPr>
      </w:pPr>
    </w:p>
    <w:p>
      <w:pPr>
        <w:spacing w:line="300" w:lineRule="auto"/>
        <w:rPr>
          <w:sz w:val="36"/>
          <w:szCs w:val="36"/>
        </w:rPr>
      </w:pPr>
    </w:p>
    <w:p>
      <w:pPr>
        <w:spacing w:line="300" w:lineRule="auto"/>
        <w:jc w:val="center"/>
        <w:rPr>
          <w:sz w:val="36"/>
          <w:szCs w:val="36"/>
        </w:rPr>
      </w:pPr>
      <w:r>
        <w:rPr>
          <w:rFonts w:hint="eastAsia"/>
          <w:sz w:val="36"/>
          <w:szCs w:val="36"/>
        </w:rPr>
        <w:t>2022</w:t>
      </w:r>
      <w:r>
        <w:rPr>
          <w:sz w:val="36"/>
          <w:szCs w:val="36"/>
        </w:rPr>
        <w:t xml:space="preserve">年 </w:t>
      </w:r>
      <w:r>
        <w:rPr>
          <w:rFonts w:hint="eastAsia"/>
          <w:sz w:val="36"/>
          <w:szCs w:val="36"/>
        </w:rPr>
        <w:t>10</w:t>
      </w:r>
      <w:r>
        <w:rPr>
          <w:sz w:val="36"/>
          <w:szCs w:val="36"/>
        </w:rPr>
        <w:t xml:space="preserve">月 </w:t>
      </w:r>
      <w:r>
        <w:rPr>
          <w:rFonts w:hint="eastAsia"/>
          <w:sz w:val="36"/>
          <w:szCs w:val="36"/>
        </w:rPr>
        <w:t>1</w:t>
      </w:r>
      <w:r>
        <w:rPr>
          <w:sz w:val="36"/>
          <w:szCs w:val="36"/>
        </w:rPr>
        <w:t>日</w:t>
      </w:r>
    </w:p>
    <w:p>
      <w:pPr>
        <w:spacing w:line="300" w:lineRule="auto"/>
        <w:jc w:val="center"/>
        <w:rPr>
          <w:sz w:val="36"/>
          <w:szCs w:val="36"/>
        </w:rPr>
      </w:pPr>
    </w:p>
    <w:p>
      <w:pPr>
        <w:spacing w:line="300" w:lineRule="auto"/>
        <w:jc w:val="center"/>
        <w:rPr>
          <w:sz w:val="36"/>
          <w:szCs w:val="36"/>
        </w:rPr>
      </w:pPr>
    </w:p>
    <w:p>
      <w:pPr>
        <w:spacing w:line="300" w:lineRule="auto"/>
        <w:rPr>
          <w:sz w:val="36"/>
          <w:szCs w:val="36"/>
        </w:rPr>
      </w:pPr>
    </w:p>
    <w:sdt>
      <w:sdtPr>
        <w:rPr>
          <w:rFonts w:asciiTheme="minorHAnsi" w:hAnsiTheme="minorHAnsi" w:eastAsiaTheme="minorEastAsia" w:cstheme="minorBidi"/>
          <w:color w:val="auto"/>
          <w:kern w:val="2"/>
          <w:sz w:val="21"/>
          <w:szCs w:val="22"/>
          <w:lang w:val="zh-CN"/>
        </w:rPr>
        <w:id w:val="75941023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9"/>
          </w:pPr>
          <w:r>
            <w:rPr>
              <w:lang w:val="zh-CN"/>
            </w:rPr>
            <w:t>目录</w:t>
          </w:r>
        </w:p>
        <w:p>
          <w:pPr>
            <w:pStyle w:val="8"/>
            <w:tabs>
              <w:tab w:val="right" w:leader="dot" w:pos="8296"/>
            </w:tabs>
          </w:pPr>
          <w:r>
            <w:fldChar w:fldCharType="begin"/>
          </w:r>
          <w:r>
            <w:instrText xml:space="preserve"> TOC \o "1-3" \h \z \u </w:instrText>
          </w:r>
          <w:r>
            <w:fldChar w:fldCharType="separate"/>
          </w:r>
          <w:r>
            <w:fldChar w:fldCharType="begin"/>
          </w:r>
          <w:r>
            <w:instrText xml:space="preserve"> HYPERLINK \l "_Toc117358648" </w:instrText>
          </w:r>
          <w:r>
            <w:fldChar w:fldCharType="separate"/>
          </w:r>
          <w:r>
            <w:rPr>
              <w:rStyle w:val="12"/>
            </w:rPr>
            <w:t>1引言</w:t>
          </w:r>
          <w:r>
            <w:tab/>
          </w:r>
          <w:r>
            <w:fldChar w:fldCharType="begin"/>
          </w:r>
          <w:r>
            <w:instrText xml:space="preserve"> PAGEREF _Toc117358648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"_Toc117358649" </w:instrText>
          </w:r>
          <w:r>
            <w:fldChar w:fldCharType="separate"/>
          </w:r>
          <w:r>
            <w:rPr>
              <w:rStyle w:val="12"/>
              <w:rFonts w:ascii="Arial" w:hAnsi="Arial" w:cs="Arial"/>
              <w:b/>
              <w:bCs/>
            </w:rPr>
            <w:t>1.1标识</w:t>
          </w:r>
          <w:r>
            <w:tab/>
          </w:r>
          <w:r>
            <w:fldChar w:fldCharType="begin"/>
          </w:r>
          <w:r>
            <w:instrText xml:space="preserve"> PAGEREF _Toc117358649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"_Toc117358650" </w:instrText>
          </w:r>
          <w:r>
            <w:fldChar w:fldCharType="separate"/>
          </w:r>
          <w:r>
            <w:rPr>
              <w:rStyle w:val="12"/>
              <w:b/>
              <w:bCs/>
            </w:rPr>
            <w:t>1.2背景</w:t>
          </w:r>
          <w:r>
            <w:tab/>
          </w:r>
          <w:r>
            <w:fldChar w:fldCharType="begin"/>
          </w:r>
          <w:r>
            <w:instrText xml:space="preserve"> PAGEREF _Toc117358650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"_Toc117358651" </w:instrText>
          </w:r>
          <w:r>
            <w:fldChar w:fldCharType="separate"/>
          </w:r>
          <w:r>
            <w:rPr>
              <w:rStyle w:val="12"/>
              <w:b/>
              <w:bCs/>
            </w:rPr>
            <w:t>1.3 项目概述</w:t>
          </w:r>
          <w:r>
            <w:tab/>
          </w:r>
          <w:r>
            <w:fldChar w:fldCharType="begin"/>
          </w:r>
          <w:r>
            <w:instrText xml:space="preserve"> PAGEREF _Toc117358651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"_Toc117358652" </w:instrText>
          </w:r>
          <w:r>
            <w:fldChar w:fldCharType="separate"/>
          </w:r>
          <w:r>
            <w:rPr>
              <w:rStyle w:val="12"/>
            </w:rPr>
            <w:t>2引用文件</w:t>
          </w:r>
          <w:r>
            <w:tab/>
          </w:r>
          <w:r>
            <w:fldChar w:fldCharType="begin"/>
          </w:r>
          <w:r>
            <w:instrText xml:space="preserve"> PAGEREF _Toc117358652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"_Toc117358653" </w:instrText>
          </w:r>
          <w:r>
            <w:fldChar w:fldCharType="separate"/>
          </w:r>
          <w:r>
            <w:rPr>
              <w:rStyle w:val="12"/>
            </w:rPr>
            <w:t>3 可行性分析的前提</w:t>
          </w:r>
          <w:r>
            <w:tab/>
          </w:r>
          <w:r>
            <w:fldChar w:fldCharType="begin"/>
          </w:r>
          <w:r>
            <w:instrText xml:space="preserve"> PAGEREF _Toc117358653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"_Toc117358654" </w:instrText>
          </w:r>
          <w:r>
            <w:fldChar w:fldCharType="separate"/>
          </w:r>
          <w:r>
            <w:rPr>
              <w:rStyle w:val="12"/>
              <w:b/>
              <w:bCs/>
            </w:rPr>
            <w:t>3.1项目要求</w:t>
          </w:r>
          <w:r>
            <w:tab/>
          </w:r>
          <w:r>
            <w:fldChar w:fldCharType="begin"/>
          </w:r>
          <w:r>
            <w:instrText xml:space="preserve"> PAGEREF _Toc117358654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"_Toc117358655" </w:instrText>
          </w:r>
          <w:r>
            <w:fldChar w:fldCharType="separate"/>
          </w:r>
          <w:r>
            <w:rPr>
              <w:rStyle w:val="12"/>
              <w:b/>
              <w:bCs/>
            </w:rPr>
            <w:t>3.2项目的目标</w:t>
          </w:r>
          <w:r>
            <w:tab/>
          </w:r>
          <w:r>
            <w:fldChar w:fldCharType="begin"/>
          </w:r>
          <w:r>
            <w:instrText xml:space="preserve"> PAGEREF _Toc117358655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"_Toc117358656" </w:instrText>
          </w:r>
          <w:r>
            <w:fldChar w:fldCharType="separate"/>
          </w:r>
          <w:r>
            <w:rPr>
              <w:rStyle w:val="12"/>
              <w:b/>
              <w:bCs/>
            </w:rPr>
            <w:t>3.4进行可行性分析的方法</w:t>
          </w:r>
          <w:r>
            <w:tab/>
          </w:r>
          <w:r>
            <w:fldChar w:fldCharType="begin"/>
          </w:r>
          <w:r>
            <w:instrText xml:space="preserve"> PAGEREF _Toc117358656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"_Toc117358657" </w:instrText>
          </w:r>
          <w:r>
            <w:fldChar w:fldCharType="separate"/>
          </w:r>
          <w:r>
            <w:rPr>
              <w:rStyle w:val="12"/>
            </w:rPr>
            <w:t>4 可选的方案</w:t>
          </w:r>
          <w:r>
            <w:tab/>
          </w:r>
          <w:r>
            <w:fldChar w:fldCharType="begin"/>
          </w:r>
          <w:r>
            <w:instrText xml:space="preserve"> PAGEREF _Toc117358657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"_Toc117358658" </w:instrText>
          </w:r>
          <w:r>
            <w:fldChar w:fldCharType="separate"/>
          </w:r>
          <w:r>
            <w:rPr>
              <w:rStyle w:val="12"/>
            </w:rPr>
            <w:t>5 基础设施</w:t>
          </w:r>
          <w:r>
            <w:tab/>
          </w:r>
          <w:r>
            <w:fldChar w:fldCharType="begin"/>
          </w:r>
          <w:r>
            <w:instrText xml:space="preserve"> PAGEREF _Toc117358658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"_Toc117358659" </w:instrText>
          </w:r>
          <w:r>
            <w:fldChar w:fldCharType="separate"/>
          </w:r>
          <w:r>
            <w:rPr>
              <w:rStyle w:val="12"/>
              <w:rFonts w:ascii="Arial" w:hAnsi="Arial" w:cs="Arial"/>
              <w:b/>
              <w:bCs/>
            </w:rPr>
            <w:t>5.1资源需求</w:t>
          </w:r>
          <w:r>
            <w:tab/>
          </w:r>
          <w:r>
            <w:fldChar w:fldCharType="begin"/>
          </w:r>
          <w:r>
            <w:instrText xml:space="preserve"> PAGEREF _Toc117358659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"_Toc117358660" </w:instrText>
          </w:r>
          <w:r>
            <w:fldChar w:fldCharType="separate"/>
          </w:r>
          <w:r>
            <w:rPr>
              <w:rStyle w:val="12"/>
              <w:rFonts w:ascii="Arial" w:hAnsi="Arial" w:cs="Arial"/>
              <w:b/>
              <w:bCs/>
            </w:rPr>
            <w:t>5.2 预算和资源分配</w:t>
          </w:r>
          <w:r>
            <w:tab/>
          </w:r>
          <w:r>
            <w:fldChar w:fldCharType="begin"/>
          </w:r>
          <w:r>
            <w:instrText xml:space="preserve"> PAGEREF _Toc117358660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"_Toc117358661" </w:instrText>
          </w:r>
          <w:r>
            <w:fldChar w:fldCharType="separate"/>
          </w:r>
          <w:r>
            <w:rPr>
              <w:rStyle w:val="12"/>
              <w:rFonts w:ascii="Arial" w:hAnsi="Arial" w:cs="Arial"/>
              <w:b/>
              <w:bCs/>
            </w:rPr>
            <w:t>5.3 系统简要描述</w:t>
          </w:r>
          <w:r>
            <w:tab/>
          </w:r>
          <w:r>
            <w:fldChar w:fldCharType="begin"/>
          </w:r>
          <w:r>
            <w:instrText xml:space="preserve"> PAGEREF _Toc117358661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"_Toc117358662" </w:instrText>
          </w:r>
          <w:r>
            <w:fldChar w:fldCharType="separate"/>
          </w:r>
          <w:r>
            <w:rPr>
              <w:rStyle w:val="12"/>
            </w:rPr>
            <w:t>6经济可行性（成本一效益分析）</w:t>
          </w:r>
          <w:r>
            <w:tab/>
          </w:r>
          <w:r>
            <w:fldChar w:fldCharType="begin"/>
          </w:r>
          <w:r>
            <w:instrText xml:space="preserve"> PAGEREF _Toc117358662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"_Toc117358663" </w:instrText>
          </w:r>
          <w:r>
            <w:fldChar w:fldCharType="separate"/>
          </w:r>
          <w:r>
            <w:rPr>
              <w:rStyle w:val="12"/>
              <w:b/>
              <w:bCs/>
            </w:rPr>
            <w:t>6.1 投资</w:t>
          </w:r>
          <w:r>
            <w:tab/>
          </w:r>
          <w:r>
            <w:fldChar w:fldCharType="begin"/>
          </w:r>
          <w:r>
            <w:instrText xml:space="preserve"> PAGEREF _Toc117358663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"_Toc117358664" </w:instrText>
          </w:r>
          <w:r>
            <w:fldChar w:fldCharType="separate"/>
          </w:r>
          <w:r>
            <w:rPr>
              <w:rStyle w:val="12"/>
              <w:b/>
              <w:bCs/>
            </w:rPr>
            <w:t>6.2 盈利模式</w:t>
          </w:r>
          <w:r>
            <w:tab/>
          </w:r>
          <w:r>
            <w:fldChar w:fldCharType="begin"/>
          </w:r>
          <w:r>
            <w:instrText xml:space="preserve"> PAGEREF _Toc117358664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"_Toc117358665" </w:instrText>
          </w:r>
          <w:r>
            <w:fldChar w:fldCharType="separate"/>
          </w:r>
          <w:r>
            <w:rPr>
              <w:rStyle w:val="12"/>
            </w:rPr>
            <w:t>7技术可行性(技术风险评价)</w:t>
          </w:r>
          <w:r>
            <w:tab/>
          </w:r>
          <w:r>
            <w:fldChar w:fldCharType="begin"/>
          </w:r>
          <w:r>
            <w:instrText xml:space="preserve"> PAGEREF _Toc117358665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"_Toc117358666" </w:instrText>
          </w:r>
          <w:r>
            <w:fldChar w:fldCharType="separate"/>
          </w:r>
          <w:r>
            <w:rPr>
              <w:rStyle w:val="12"/>
            </w:rPr>
            <w:t>8法律可行性</w:t>
          </w:r>
          <w:r>
            <w:tab/>
          </w:r>
          <w:r>
            <w:fldChar w:fldCharType="begin"/>
          </w:r>
          <w:r>
            <w:instrText xml:space="preserve"> PAGEREF _Toc117358666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"_Toc117358667" </w:instrText>
          </w:r>
          <w:r>
            <w:fldChar w:fldCharType="separate"/>
          </w:r>
          <w:r>
            <w:rPr>
              <w:rStyle w:val="12"/>
            </w:rPr>
            <w:t>9操作可行性</w:t>
          </w:r>
          <w:r>
            <w:tab/>
          </w:r>
          <w:r>
            <w:fldChar w:fldCharType="begin"/>
          </w:r>
          <w:r>
            <w:instrText xml:space="preserve"> PAGEREF _Toc117358667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"_Toc117358668" </w:instrText>
          </w:r>
          <w:r>
            <w:fldChar w:fldCharType="separate"/>
          </w:r>
          <w:r>
            <w:rPr>
              <w:rStyle w:val="12"/>
            </w:rPr>
            <w:t>10其他与项目有关的问题</w:t>
          </w:r>
          <w:r>
            <w:tab/>
          </w:r>
          <w:r>
            <w:fldChar w:fldCharType="begin"/>
          </w:r>
          <w:r>
            <w:instrText xml:space="preserve"> PAGEREF _Toc117358668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"_Toc117358669" </w:instrText>
          </w:r>
          <w:r>
            <w:fldChar w:fldCharType="separate"/>
          </w:r>
          <w:r>
            <w:rPr>
              <w:rStyle w:val="12"/>
            </w:rPr>
            <w:t>11注解</w:t>
          </w:r>
          <w:r>
            <w:tab/>
          </w:r>
          <w:r>
            <w:fldChar w:fldCharType="begin"/>
          </w:r>
          <w:r>
            <w:instrText xml:space="preserve"> PAGEREF _Toc117358669 \h </w:instrText>
          </w:r>
          <w:r>
            <w:fldChar w:fldCharType="separate"/>
          </w:r>
          <w:r>
            <w:t>8</w:t>
          </w:r>
          <w:r>
            <w:fldChar w:fldCharType="end"/>
          </w:r>
          <w:r>
            <w:fldChar w:fldCharType="end"/>
          </w:r>
        </w:p>
        <w:p>
          <w:r>
            <w:rPr>
              <w:b/>
              <w:bCs/>
              <w:lang w:val="zh-CN"/>
            </w:rPr>
            <w:fldChar w:fldCharType="end"/>
          </w:r>
        </w:p>
      </w:sdtContent>
    </w:sdt>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pStyle w:val="2"/>
      </w:pPr>
      <w:bookmarkStart w:id="0" w:name="_Toc117358648"/>
      <w:r>
        <w:rPr>
          <w:rFonts w:hint="eastAsia"/>
        </w:rPr>
        <w:t>1引言</w:t>
      </w:r>
      <w:bookmarkEnd w:id="0"/>
    </w:p>
    <w:p>
      <w:pPr>
        <w:outlineLvl w:val="1"/>
        <w:rPr>
          <w:rFonts w:ascii="Arial" w:hAnsi="Arial" w:cs="Arial"/>
          <w:b/>
          <w:bCs/>
          <w:sz w:val="32"/>
          <w:szCs w:val="32"/>
        </w:rPr>
      </w:pPr>
      <w:bookmarkStart w:id="1" w:name="_Toc117358649"/>
      <w:r>
        <w:rPr>
          <w:rFonts w:ascii="Arial" w:hAnsi="Arial" w:cs="Arial"/>
          <w:b/>
          <w:bCs/>
          <w:sz w:val="32"/>
          <w:szCs w:val="32"/>
        </w:rPr>
        <w:t>1.1标识</w:t>
      </w:r>
      <w:bookmarkEnd w:id="1"/>
    </w:p>
    <w:p>
      <w:pPr>
        <w:ind w:firstLine="420" w:firstLineChars="200"/>
        <w:rPr>
          <w:rFonts w:ascii="宋体" w:hAnsi="宋体" w:eastAsia="宋体" w:cs="宋体"/>
        </w:rPr>
      </w:pPr>
      <w:r>
        <w:rPr>
          <w:rFonts w:hint="eastAsia" w:ascii="宋体" w:hAnsi="宋体" w:eastAsia="宋体" w:cs="宋体"/>
        </w:rPr>
        <w:t>软件名称：博青秀</w:t>
      </w:r>
    </w:p>
    <w:p>
      <w:pPr>
        <w:ind w:firstLine="420" w:firstLineChars="200"/>
        <w:rPr>
          <w:rFonts w:ascii="宋体" w:hAnsi="宋体" w:eastAsia="宋体" w:cs="宋体"/>
        </w:rPr>
      </w:pPr>
      <w:r>
        <w:rPr>
          <w:rFonts w:hint="eastAsia" w:ascii="宋体" w:hAnsi="宋体" w:eastAsia="宋体" w:cs="宋体"/>
        </w:rPr>
        <w:t>软件版本号：1.1</w:t>
      </w:r>
    </w:p>
    <w:p>
      <w:pPr>
        <w:ind w:firstLine="420" w:firstLineChars="200"/>
        <w:rPr>
          <w:rFonts w:ascii="宋体" w:hAnsi="宋体" w:eastAsia="宋体" w:cs="宋体"/>
        </w:rPr>
      </w:pPr>
      <w:r>
        <w:rPr>
          <w:rFonts w:hint="eastAsia" w:ascii="宋体" w:hAnsi="宋体" w:eastAsia="宋体" w:cs="宋体"/>
        </w:rPr>
        <w:t>软件适用系统：安卓系统</w:t>
      </w:r>
    </w:p>
    <w:p>
      <w:pPr>
        <w:ind w:firstLine="420" w:firstLineChars="200"/>
        <w:rPr>
          <w:rFonts w:ascii="宋体" w:hAnsi="宋体" w:eastAsia="宋体" w:cs="宋体"/>
        </w:rPr>
      </w:pPr>
      <w:r>
        <w:rPr>
          <w:rFonts w:hint="eastAsia" w:ascii="宋体" w:hAnsi="宋体" w:eastAsia="宋体" w:cs="宋体"/>
        </w:rPr>
        <w:t>软件Logo：</w:t>
      </w:r>
    </w:p>
    <w:p>
      <w:r>
        <w:rPr>
          <w:rFonts w:hint="eastAsia" w:eastAsia="黑体"/>
          <w:b/>
          <w:sz w:val="28"/>
        </w:rPr>
        <w:t xml:space="preserve">  </w:t>
      </w:r>
      <w:r>
        <w:rPr>
          <w:rFonts w:hint="eastAsia" w:eastAsia="黑体"/>
          <w:b/>
          <w:sz w:val="28"/>
        </w:rPr>
        <w:drawing>
          <wp:inline distT="0" distB="0" distL="114300" distR="114300">
            <wp:extent cx="1151890" cy="1112520"/>
            <wp:effectExtent l="0" t="0" r="0" b="0"/>
            <wp:docPr id="3"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标志1"/>
                    <pic:cNvPicPr>
                      <a:picLocks noChangeAspect="1"/>
                    </pic:cNvPicPr>
                  </pic:nvPicPr>
                  <pic:blipFill>
                    <a:blip r:embed="rId5"/>
                    <a:stretch>
                      <a:fillRect/>
                    </a:stretch>
                  </pic:blipFill>
                  <pic:spPr>
                    <a:xfrm>
                      <a:off x="0" y="0"/>
                      <a:ext cx="1151890" cy="1112520"/>
                    </a:xfrm>
                    <a:prstGeom prst="rect">
                      <a:avLst/>
                    </a:prstGeom>
                    <a:noFill/>
                    <a:ln>
                      <a:noFill/>
                    </a:ln>
                  </pic:spPr>
                </pic:pic>
              </a:graphicData>
            </a:graphic>
          </wp:inline>
        </w:drawing>
      </w:r>
    </w:p>
    <w:p/>
    <w:p>
      <w:pPr>
        <w:outlineLvl w:val="1"/>
        <w:rPr>
          <w:b/>
          <w:bCs/>
          <w:sz w:val="32"/>
          <w:szCs w:val="32"/>
        </w:rPr>
      </w:pPr>
      <w:bookmarkStart w:id="2" w:name="_Toc117358650"/>
      <w:r>
        <w:rPr>
          <w:b/>
          <w:bCs/>
          <w:sz w:val="32"/>
          <w:szCs w:val="32"/>
        </w:rPr>
        <w:t>1.2背景</w:t>
      </w:r>
      <w:bookmarkEnd w:id="2"/>
    </w:p>
    <w:p>
      <w:pPr>
        <w:rPr>
          <w:rFonts w:ascii="宋体" w:hAnsi="宋体" w:eastAsia="宋体" w:cs="宋体"/>
        </w:rPr>
      </w:pPr>
      <w:r>
        <w:rPr>
          <w:rFonts w:hint="eastAsia" w:ascii="宋体" w:hAnsi="宋体" w:eastAsia="宋体" w:cs="宋体"/>
        </w:rPr>
        <w:t>（一）政治背景：</w:t>
      </w:r>
    </w:p>
    <w:p>
      <w:pPr>
        <w:numPr>
          <w:ilvl w:val="0"/>
          <w:numId w:val="1"/>
        </w:numPr>
        <w:ind w:firstLine="420" w:firstLineChars="200"/>
        <w:rPr>
          <w:rFonts w:ascii="宋体" w:hAnsi="宋体" w:eastAsia="宋体" w:cs="宋体"/>
          <w:lang w:eastAsia="zh-Hans"/>
        </w:rPr>
      </w:pPr>
      <w:r>
        <w:rPr>
          <w:rFonts w:hint="eastAsia" w:ascii="宋体" w:hAnsi="宋体" w:eastAsia="宋体" w:cs="宋体"/>
          <w:lang w:eastAsia="zh-Hans"/>
        </w:rPr>
        <w:t>2021年5月24日，中央宣传部、国家发展改革委、教育部、科技部 、民政部、 财政部 、人力资源社会保障部、文化和旅游部 、国家文物局联合发布《关于推进博物馆改革发展的指导意见》。以“坚持正确方向、坚持改革创新、坚持统筹协调、坚持开放共享”为基本原则，以“基本建成世界博物馆强国”为总体目标。</w:t>
      </w:r>
    </w:p>
    <w:p>
      <w:pPr>
        <w:numPr>
          <w:ilvl w:val="0"/>
          <w:numId w:val="1"/>
        </w:numPr>
        <w:ind w:firstLine="420" w:firstLineChars="200"/>
        <w:rPr>
          <w:rFonts w:ascii="宋体" w:hAnsi="宋体" w:eastAsia="宋体" w:cs="宋体"/>
          <w:lang w:eastAsia="zh-Hans"/>
        </w:rPr>
      </w:pPr>
      <w:r>
        <w:rPr>
          <w:rFonts w:hint="eastAsia" w:ascii="宋体" w:hAnsi="宋体" w:eastAsia="宋体" w:cs="宋体"/>
          <w:lang w:eastAsia="zh-Hans"/>
        </w:rPr>
        <w:t>让文物走进生活，文旅商共建博物馆落地杭州。2022年2月26日，“国丝·时装博物馆”在杭州地标性建筑杭州大厦开馆，并将在其中举办长期的特展。</w:t>
      </w:r>
    </w:p>
    <w:p>
      <w:pPr>
        <w:rPr>
          <w:rFonts w:ascii="宋体" w:hAnsi="宋体" w:eastAsia="宋体" w:cs="宋体"/>
        </w:rPr>
      </w:pPr>
      <w:r>
        <w:rPr>
          <w:rFonts w:hint="eastAsia" w:ascii="宋体" w:hAnsi="宋体" w:eastAsia="宋体" w:cs="宋体"/>
        </w:rPr>
        <w:t>（二）用户背景：</w:t>
      </w:r>
    </w:p>
    <w:p>
      <w:pPr>
        <w:numPr>
          <w:ilvl w:val="0"/>
          <w:numId w:val="2"/>
        </w:numPr>
        <w:ind w:firstLine="420" w:firstLineChars="200"/>
        <w:rPr>
          <w:rFonts w:ascii="宋体" w:hAnsi="宋体" w:eastAsia="宋体" w:cs="宋体"/>
        </w:rPr>
      </w:pPr>
      <w:r>
        <w:rPr>
          <w:rFonts w:hint="eastAsia" w:ascii="宋体" w:hAnsi="宋体" w:eastAsia="宋体" w:cs="宋体"/>
        </w:rPr>
        <w:t>消费者：文旅需求旺盛，存在信息壁垒。</w:t>
      </w:r>
    </w:p>
    <w:p>
      <w:pPr>
        <w:ind w:firstLine="420" w:firstLineChars="200"/>
        <w:rPr>
          <w:rFonts w:ascii="宋体" w:hAnsi="宋体" w:eastAsia="宋体" w:cs="宋体"/>
        </w:rPr>
      </w:pPr>
      <w:r>
        <w:rPr>
          <w:rFonts w:hint="eastAsia" w:ascii="宋体" w:hAnsi="宋体" w:eastAsia="宋体" w:cs="宋体"/>
        </w:rPr>
        <w:t xml:space="preserve"> 2020年，全国博物馆举办2.9万多个展览，接待观众5.4亿人次，其中未成年人观众1.3亿人次；2019年上半年全国乡村旅游总人次达15.1亿次，同比增加10.2%。</w:t>
      </w:r>
    </w:p>
    <w:p>
      <w:pPr>
        <w:ind w:left="420" w:firstLine="420"/>
        <w:rPr>
          <w:rFonts w:ascii="宋体" w:hAnsi="宋体" w:eastAsia="宋体" w:cs="宋体"/>
        </w:rPr>
      </w:pPr>
      <w:r>
        <w:rPr>
          <w:rFonts w:hint="eastAsia" w:ascii="宋体" w:hAnsi="宋体" w:eastAsia="宋体" w:cs="宋体"/>
        </w:rPr>
        <w:t xml:space="preserve">1）近年来，消费者对博物馆与乡村文旅产品需求逐渐旺盛。   </w:t>
      </w:r>
    </w:p>
    <w:p>
      <w:pPr>
        <w:ind w:left="420" w:firstLine="420" w:firstLineChars="200"/>
        <w:rPr>
          <w:rFonts w:ascii="宋体" w:hAnsi="宋体" w:eastAsia="宋体" w:cs="宋体"/>
        </w:rPr>
      </w:pPr>
      <w:r>
        <w:rPr>
          <w:rFonts w:hint="eastAsia" w:ascii="宋体" w:hAnsi="宋体" w:eastAsia="宋体" w:cs="宋体"/>
        </w:rPr>
        <w:t>2）承接这些信息的平台通常较为隐蔽</w:t>
      </w:r>
    </w:p>
    <w:p>
      <w:pPr>
        <w:ind w:left="420" w:firstLine="420" w:firstLineChars="200"/>
        <w:rPr>
          <w:rFonts w:ascii="宋体" w:hAnsi="宋体" w:eastAsia="宋体" w:cs="宋体"/>
        </w:rPr>
      </w:pPr>
      <w:r>
        <w:rPr>
          <w:rFonts w:hint="eastAsia" w:ascii="宋体" w:hAnsi="宋体" w:eastAsia="宋体" w:cs="宋体"/>
        </w:rPr>
        <w:t>3）各种旅游信息混杂，有关博物馆与乡村文旅产品的信息较为分散</w:t>
      </w:r>
    </w:p>
    <w:p>
      <w:pPr>
        <w:ind w:firstLine="420" w:firstLineChars="200"/>
        <w:rPr>
          <w:rFonts w:ascii="宋体" w:hAnsi="宋体" w:eastAsia="宋体" w:cs="宋体"/>
        </w:rPr>
      </w:pPr>
      <w:r>
        <w:rPr>
          <w:rFonts w:hint="eastAsia" w:ascii="宋体" w:hAnsi="宋体" w:eastAsia="宋体" w:cs="宋体"/>
        </w:rPr>
        <w:t>综：消费者通常要花费大量的时间和金钱成本进行出行预约、攻略等准备。</w:t>
      </w:r>
    </w:p>
    <w:p>
      <w:pPr>
        <w:numPr>
          <w:ilvl w:val="0"/>
          <w:numId w:val="2"/>
        </w:numPr>
        <w:ind w:firstLine="420" w:firstLineChars="200"/>
        <w:rPr>
          <w:rFonts w:ascii="宋体" w:hAnsi="宋体" w:eastAsia="宋体" w:cs="宋体"/>
        </w:rPr>
      </w:pPr>
      <w:r>
        <w:rPr>
          <w:rFonts w:hint="eastAsia"/>
        </w:rPr>
        <w:t>大学生：社会实践连续性差，形式单一。</w:t>
      </w:r>
    </w:p>
    <w:p>
      <w:pPr>
        <w:ind w:left="420" w:leftChars="200" w:firstLine="420"/>
        <w:rPr>
          <w:rFonts w:ascii="宋体" w:hAnsi="宋体" w:eastAsia="宋体" w:cs="宋体"/>
        </w:rPr>
      </w:pPr>
      <w:r>
        <w:rPr>
          <w:rFonts w:hint="eastAsia" w:ascii="宋体" w:hAnsi="宋体" w:eastAsia="宋体" w:cs="宋体"/>
        </w:rPr>
        <w:t>1）</w:t>
      </w:r>
      <w:r>
        <w:rPr>
          <w:rFonts w:ascii="宋体" w:hAnsi="宋体" w:eastAsia="宋体" w:cs="宋体"/>
        </w:rPr>
        <w:t>大学生进行暑期志愿实践过程中面临的最大问题就是暑期实践的连续性差。</w:t>
      </w:r>
    </w:p>
    <w:p>
      <w:pPr>
        <w:ind w:left="420" w:leftChars="200" w:firstLine="420"/>
        <w:rPr>
          <w:rFonts w:ascii="宋体" w:hAnsi="宋体" w:eastAsia="宋体" w:cs="宋体"/>
        </w:rPr>
      </w:pPr>
      <w:r>
        <w:rPr>
          <w:rFonts w:hint="eastAsia" w:ascii="宋体" w:hAnsi="宋体" w:eastAsia="宋体" w:cs="宋体"/>
        </w:rPr>
        <w:t>2）</w:t>
      </w:r>
      <w:r>
        <w:rPr>
          <w:rFonts w:ascii="宋体" w:hAnsi="宋体" w:eastAsia="宋体" w:cs="宋体"/>
        </w:rPr>
        <w:t>通常各种志愿活动的时间都很短，并且活动地点距离遥远，未形成集群。</w:t>
      </w:r>
    </w:p>
    <w:p>
      <w:pPr>
        <w:ind w:left="420" w:leftChars="200" w:firstLine="420"/>
        <w:rPr>
          <w:color w:val="4472C4" w:themeColor="accent1"/>
          <w14:textFill>
            <w14:solidFill>
              <w14:schemeClr w14:val="accent1"/>
            </w14:solidFill>
          </w14:textFill>
        </w:rPr>
      </w:pPr>
      <w:r>
        <w:rPr>
          <w:rFonts w:hint="eastAsia" w:ascii="宋体" w:hAnsi="宋体" w:eastAsia="宋体" w:cs="宋体"/>
        </w:rPr>
        <w:t>3）</w:t>
      </w:r>
      <w:r>
        <w:rPr>
          <w:rFonts w:ascii="宋体" w:hAnsi="宋体" w:eastAsia="宋体" w:cs="宋体"/>
        </w:rPr>
        <w:t>志愿活动的内容通常局限于疫情防控、献血服务等等。</w:t>
      </w:r>
    </w:p>
    <w:p>
      <w:pPr>
        <w:numPr>
          <w:ilvl w:val="0"/>
          <w:numId w:val="2"/>
        </w:numPr>
        <w:ind w:firstLine="420" w:firstLineChars="200"/>
        <w:rPr>
          <w:rFonts w:ascii="宋体" w:hAnsi="宋体" w:eastAsia="宋体" w:cs="宋体"/>
        </w:rPr>
      </w:pPr>
      <w:r>
        <w:rPr>
          <w:rFonts w:hint="eastAsia"/>
        </w:rPr>
        <w:t>文旅地：缺乏高素质人才，人力成本高。</w:t>
      </w:r>
    </w:p>
    <w:p>
      <w:pPr>
        <w:ind w:firstLine="420" w:firstLineChars="200"/>
        <w:rPr>
          <w:rFonts w:ascii="宋体" w:hAnsi="宋体" w:eastAsia="宋体" w:cs="宋体"/>
        </w:rPr>
      </w:pPr>
      <w:r>
        <w:rPr>
          <w:rFonts w:ascii="宋体" w:hAnsi="宋体" w:eastAsia="宋体" w:cs="宋体"/>
        </w:rPr>
        <w:t>博物馆的现有职员和乡村农民的数量不足以迎接大量的消费者，需要数量更多、质量更高的人力资源更好地为博物馆与乡村文旅产业服务。</w:t>
      </w:r>
    </w:p>
    <w:p>
      <w:pPr>
        <w:outlineLvl w:val="1"/>
        <w:rPr>
          <w:b/>
          <w:bCs/>
          <w:sz w:val="32"/>
          <w:szCs w:val="32"/>
        </w:rPr>
      </w:pPr>
      <w:bookmarkStart w:id="3" w:name="_Toc117358651"/>
      <w:r>
        <w:rPr>
          <w:b/>
          <w:bCs/>
          <w:sz w:val="32"/>
          <w:szCs w:val="32"/>
        </w:rPr>
        <w:t>1.3 项目概述</w:t>
      </w:r>
      <w:bookmarkEnd w:id="3"/>
    </w:p>
    <w:p>
      <w:pPr>
        <w:ind w:firstLine="420"/>
      </w:pPr>
      <w:r>
        <w:t xml:space="preserve">本项目名称为“博青带你看——一站式服务文博旅游解决方案”，是一款将用户、大学生和实践目的地串联，集中闭环式服务各使用群体的一站式服务 APP。将线下文博资源整合归类进行信息化处理，从线下搬到线上，线上发布目的地开放日信息，游客下单计划出行游览，大学生化身“领队”进行社会实践，目的地化身“管家”提供交通、住宿等服务。联动目的地-用户-大学生三大主体，打破信息壁垒，盘活社会闲置文化资源，形成良好的资源循环结构，解决各方痛点问题。让大众走进文化厅堂感受文化的魅力，在“口袋富起来”的同时实现“脑 袋富起来”。 </w:t>
      </w:r>
    </w:p>
    <w:p>
      <w:pPr>
        <w:ind w:firstLine="420"/>
      </w:pPr>
      <w:r>
        <w:t>本项目充分利用“互联网+文旅”的发展机遇，借助多方渠道，多角度、多载体，优化公共服务供给，实现信息互通、产品互推、平台互联、客源互动的互联共享举措，助力杭州文旅的高质量发展。</w:t>
      </w:r>
    </w:p>
    <w:p>
      <w:pPr>
        <w:rPr>
          <w:b/>
          <w:bCs/>
          <w:sz w:val="32"/>
          <w:szCs w:val="32"/>
        </w:rPr>
      </w:pPr>
      <w:r>
        <w:rPr>
          <w:b/>
          <w:bCs/>
          <w:sz w:val="32"/>
          <w:szCs w:val="32"/>
        </w:rPr>
        <w:t>1.4 文档概述</w:t>
      </w:r>
    </w:p>
    <w:p>
      <w:pPr>
        <w:ind w:firstLine="420"/>
      </w:pPr>
      <w:r>
        <w:rPr>
          <w:rFonts w:hint="eastAsia"/>
        </w:rPr>
        <w:t>本文档为博青秀开可行性分析报告文档，包含</w:t>
      </w:r>
      <w:r>
        <w:t>7</w:t>
      </w:r>
      <w:r>
        <w:rPr>
          <w:rFonts w:hint="eastAsia"/>
        </w:rPr>
        <w:t>个模块：</w:t>
      </w:r>
    </w:p>
    <w:p>
      <w:pPr>
        <w:ind w:firstLine="420"/>
      </w:pPr>
      <w:r>
        <w:tab/>
      </w:r>
      <w:r>
        <w:rPr>
          <w:rFonts w:hint="eastAsia"/>
        </w:rPr>
        <w:t>·</w:t>
      </w:r>
      <w:r>
        <w:t>可行性分析的前提</w:t>
      </w:r>
    </w:p>
    <w:p>
      <w:pPr>
        <w:ind w:firstLine="420"/>
      </w:pPr>
      <w:r>
        <w:tab/>
      </w:r>
      <w:r>
        <w:rPr>
          <w:rFonts w:hint="eastAsia"/>
        </w:rPr>
        <w:t>·可选的方案</w:t>
      </w:r>
    </w:p>
    <w:p>
      <w:pPr>
        <w:ind w:firstLine="420"/>
      </w:pPr>
      <w:r>
        <w:tab/>
      </w:r>
      <w:r>
        <w:rPr>
          <w:rFonts w:hint="eastAsia"/>
        </w:rPr>
        <w:t>·基础设施</w:t>
      </w:r>
    </w:p>
    <w:p>
      <w:pPr>
        <w:ind w:firstLine="420"/>
      </w:pPr>
      <w:r>
        <w:tab/>
      </w:r>
      <w:r>
        <w:rPr>
          <w:rFonts w:hint="eastAsia"/>
        </w:rPr>
        <w:t>·经济可行性（成本一效益分析）</w:t>
      </w:r>
    </w:p>
    <w:p>
      <w:pPr>
        <w:ind w:firstLine="420"/>
      </w:pPr>
      <w:r>
        <w:tab/>
      </w:r>
      <w:r>
        <w:rPr>
          <w:rFonts w:hint="eastAsia"/>
        </w:rPr>
        <w:t>·技术可行性</w:t>
      </w:r>
      <w:r>
        <w:t>(技术风险评价)</w:t>
      </w:r>
    </w:p>
    <w:p>
      <w:pPr>
        <w:ind w:firstLine="420"/>
      </w:pPr>
      <w:r>
        <w:tab/>
      </w:r>
      <w:r>
        <w:rPr>
          <w:rFonts w:hint="eastAsia"/>
        </w:rPr>
        <w:t>·法律可行性</w:t>
      </w:r>
    </w:p>
    <w:p>
      <w:pPr>
        <w:ind w:firstLine="420"/>
        <w:rPr>
          <w:rFonts w:hint="eastAsia"/>
        </w:rPr>
      </w:pPr>
      <w:r>
        <w:tab/>
      </w:r>
      <w:r>
        <w:rPr>
          <w:rFonts w:hint="eastAsia"/>
        </w:rPr>
        <w:t>·</w:t>
      </w:r>
      <w:r>
        <w:t>操作可行性</w:t>
      </w:r>
    </w:p>
    <w:p>
      <w:pPr>
        <w:pStyle w:val="2"/>
      </w:pPr>
      <w:bookmarkStart w:id="4" w:name="_Toc117358652"/>
      <w:r>
        <w:t>2引用文件</w:t>
      </w:r>
      <w:bookmarkEnd w:id="4"/>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本章应列出本文档引用的所有文档的编号、标题、修订版本和日期，本章也应标识不能通过正常的供货渠道获得的所有文档的来源。</w:t>
      </w:r>
    </w:p>
    <w:p>
      <w:pPr>
        <w:rPr>
          <w:color w:val="4472C4" w:themeColor="accent1"/>
          <w14:textFill>
            <w14:solidFill>
              <w14:schemeClr w14:val="accent1"/>
            </w14:solidFill>
          </w14:textFill>
        </w:rPr>
      </w:pPr>
    </w:p>
    <w:p>
      <w:pPr>
        <w:pStyle w:val="2"/>
      </w:pPr>
      <w:bookmarkStart w:id="5" w:name="_Toc117358653"/>
      <w:r>
        <w:rPr>
          <w:rFonts w:hint="eastAsia"/>
        </w:rPr>
        <w:t>3</w:t>
      </w:r>
      <w:r>
        <w:t xml:space="preserve"> </w:t>
      </w:r>
      <w:r>
        <w:rPr>
          <w:rFonts w:hint="eastAsia"/>
        </w:rPr>
        <w:t>可行性分析的前提</w:t>
      </w:r>
      <w:bookmarkEnd w:id="5"/>
    </w:p>
    <w:p>
      <w:pPr>
        <w:outlineLvl w:val="0"/>
        <w:rPr>
          <w:b/>
          <w:bCs/>
          <w:sz w:val="32"/>
          <w:szCs w:val="32"/>
        </w:rPr>
      </w:pPr>
      <w:bookmarkStart w:id="6" w:name="_Toc117358654"/>
      <w:r>
        <w:rPr>
          <w:b/>
          <w:bCs/>
          <w:sz w:val="32"/>
          <w:szCs w:val="32"/>
        </w:rPr>
        <w:t>3.1项目要求</w:t>
      </w:r>
      <w:bookmarkEnd w:id="6"/>
      <w:r>
        <w:rPr>
          <w:rFonts w:hint="eastAsia"/>
          <w:b/>
          <w:bCs/>
          <w:sz w:val="32"/>
          <w:szCs w:val="32"/>
        </w:rPr>
        <w:t xml:space="preserve">  </w:t>
      </w:r>
    </w:p>
    <w:p>
      <w:pPr>
        <w:ind w:firstLine="420" w:firstLineChars="200"/>
        <w:rPr>
          <w:szCs w:val="21"/>
        </w:rPr>
      </w:pPr>
      <w:r>
        <w:rPr>
          <w:szCs w:val="21"/>
        </w:rPr>
        <w:t>1.满足文旅融合需求</w:t>
      </w:r>
    </w:p>
    <w:p>
      <w:pPr>
        <w:ind w:firstLine="420" w:firstLineChars="200"/>
        <w:rPr>
          <w:szCs w:val="21"/>
        </w:rPr>
      </w:pPr>
      <w:r>
        <w:rPr>
          <w:szCs w:val="21"/>
        </w:rPr>
        <w:t>2.满足易操作、好上手需求</w:t>
      </w:r>
    </w:p>
    <w:p>
      <w:pPr>
        <w:ind w:firstLine="420" w:firstLineChars="200"/>
        <w:rPr>
          <w:szCs w:val="21"/>
        </w:rPr>
      </w:pPr>
      <w:r>
        <w:rPr>
          <w:szCs w:val="21"/>
        </w:rPr>
        <w:t>3.丰富娱乐需求</w:t>
      </w:r>
    </w:p>
    <w:p>
      <w:pPr>
        <w:ind w:firstLine="420" w:firstLineChars="200"/>
        <w:rPr>
          <w:szCs w:val="21"/>
        </w:rPr>
      </w:pPr>
      <w:r>
        <w:rPr>
          <w:szCs w:val="21"/>
        </w:rPr>
        <w:t>4.实现智能人机交互需求</w:t>
      </w:r>
    </w:p>
    <w:p>
      <w:pPr>
        <w:outlineLvl w:val="1"/>
        <w:rPr>
          <w:b/>
          <w:bCs/>
          <w:sz w:val="32"/>
          <w:szCs w:val="32"/>
        </w:rPr>
      </w:pPr>
      <w:bookmarkStart w:id="7" w:name="_Toc117358655"/>
      <w:r>
        <w:rPr>
          <w:b/>
          <w:bCs/>
          <w:sz w:val="32"/>
          <w:szCs w:val="32"/>
        </w:rPr>
        <w:t>3.2项目的目标</w:t>
      </w:r>
      <w:bookmarkEnd w:id="7"/>
      <w:r>
        <w:rPr>
          <w:rFonts w:hint="eastAsia"/>
          <w:b/>
          <w:bCs/>
          <w:sz w:val="32"/>
          <w:szCs w:val="32"/>
        </w:rPr>
        <w:t xml:space="preserve">  </w:t>
      </w:r>
    </w:p>
    <w:p>
      <w:pPr>
        <w:widowControl/>
        <w:ind w:firstLine="420" w:firstLineChars="20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为用户提供乡村文旅、博物馆以及企业展示中心的信息，为大学生提供实践活动机会，帮助入驻的相关企业展示其企业文化。对于快速发展以及社会责任感强的企业（特别是高科技公司），社会人群希望了解到更多关于企业的产品和故事，但是目前市面上的旅游软件没有涉及发布这一信息的。</w:t>
      </w:r>
    </w:p>
    <w:p>
      <w:pPr>
        <w:widowControl/>
        <w:jc w:val="left"/>
        <w:rPr>
          <w:rFonts w:asciiTheme="minorEastAsia" w:hAnsiTheme="minorEastAsia"/>
          <w:b/>
          <w:bCs/>
          <w:color w:val="4472C4" w:themeColor="accent1"/>
          <w:sz w:val="32"/>
          <w:szCs w:val="32"/>
          <w14:textFill>
            <w14:solidFill>
              <w14:schemeClr w14:val="accent1"/>
            </w14:solidFill>
          </w14:textFill>
        </w:rPr>
      </w:pPr>
      <w:r>
        <w:rPr>
          <w:rFonts w:hint="eastAsia" w:cs="宋体" w:asciiTheme="minorEastAsia" w:hAnsiTheme="minorEastAsia"/>
          <w:b/>
          <w:bCs/>
          <w:color w:val="4472C4" w:themeColor="accent1"/>
          <w:kern w:val="0"/>
          <w:sz w:val="32"/>
          <w:szCs w:val="32"/>
          <w:lang w:bidi="ar"/>
          <w14:textFill>
            <w14:solidFill>
              <w14:schemeClr w14:val="accent1"/>
            </w14:solidFill>
          </w14:textFill>
        </w:rPr>
        <w:t>3</w:t>
      </w:r>
      <w:r>
        <w:rPr>
          <w:rFonts w:cs="宋体" w:asciiTheme="minorEastAsia" w:hAnsiTheme="minorEastAsia"/>
          <w:b/>
          <w:bCs/>
          <w:color w:val="4472C4" w:themeColor="accent1"/>
          <w:kern w:val="0"/>
          <w:sz w:val="32"/>
          <w:szCs w:val="32"/>
          <w:lang w:bidi="ar"/>
          <w14:textFill>
            <w14:solidFill>
              <w14:schemeClr w14:val="accent1"/>
            </w14:solidFill>
          </w14:textFill>
        </w:rPr>
        <w:t xml:space="preserve">.3 </w:t>
      </w:r>
      <w:r>
        <w:rPr>
          <w:rFonts w:hint="eastAsia" w:cs="宋体" w:asciiTheme="minorEastAsia" w:hAnsiTheme="minorEastAsia"/>
          <w:b/>
          <w:bCs/>
          <w:color w:val="4472C4" w:themeColor="accent1"/>
          <w:kern w:val="0"/>
          <w:sz w:val="32"/>
          <w:szCs w:val="32"/>
          <w:lang w:bidi="ar"/>
          <w14:textFill>
            <w14:solidFill>
              <w14:schemeClr w14:val="accent1"/>
            </w14:solidFill>
          </w14:textFill>
        </w:rPr>
        <w:t>项目的环境、条件、假定和限制</w:t>
      </w:r>
    </w:p>
    <w:p>
      <w:pPr>
        <w:outlineLvl w:val="1"/>
        <w:rPr>
          <w:color w:val="4472C4" w:themeColor="accent1"/>
          <w14:textFill>
            <w14:solidFill>
              <w14:schemeClr w14:val="accent1"/>
            </w14:solidFill>
          </w14:textFill>
        </w:rPr>
      </w:pPr>
      <w:bookmarkStart w:id="8" w:name="_Toc117358656"/>
      <w:r>
        <w:rPr>
          <w:b/>
          <w:bCs/>
          <w:sz w:val="32"/>
          <w:szCs w:val="32"/>
        </w:rPr>
        <w:t>3.4进行可行性分析</w:t>
      </w:r>
      <w:r>
        <w:rPr>
          <w:rFonts w:hint="eastAsia"/>
          <w:b/>
          <w:bCs/>
          <w:sz w:val="32"/>
          <w:szCs w:val="32"/>
        </w:rPr>
        <w:t>的方法</w:t>
      </w:r>
      <w:bookmarkEnd w:id="8"/>
      <w:r>
        <w:rPr>
          <w:rFonts w:hint="eastAsia"/>
          <w:b/>
          <w:bCs/>
          <w:sz w:val="32"/>
          <w:szCs w:val="32"/>
        </w:rPr>
        <w:t xml:space="preserve"> </w:t>
      </w:r>
      <w:r>
        <w:rPr>
          <w:color w:val="4472C4" w:themeColor="accent1"/>
          <w14:textFill>
            <w14:solidFill>
              <w14:schemeClr w14:val="accent1"/>
            </w14:solidFill>
          </w14:textFill>
        </w:rPr>
        <w:t xml:space="preserve"> </w:t>
      </w:r>
    </w:p>
    <w:p>
      <w:pPr>
        <w:ind w:firstLine="420" w:firstLineChars="200"/>
      </w:pPr>
      <w:r>
        <w:rPr>
          <w:rFonts w:hint="eastAsia"/>
        </w:rPr>
        <w:t>一，确定客户的需求，并用科学的术语描述想要的东西；</w:t>
      </w:r>
    </w:p>
    <w:p>
      <w:pPr>
        <w:ind w:firstLine="420" w:firstLineChars="200"/>
      </w:pPr>
      <w:r>
        <w:rPr>
          <w:rFonts w:hint="eastAsia"/>
        </w:rPr>
        <w:t>二，通过客户的需求，制定出项目建设的目标、规模、产品、方案和发展方向；</w:t>
      </w:r>
    </w:p>
    <w:p>
      <w:pPr>
        <w:ind w:firstLine="420" w:firstLineChars="200"/>
      </w:pPr>
      <w:r>
        <w:rPr>
          <w:rFonts w:hint="eastAsia"/>
        </w:rPr>
        <w:t>三，分析手上的现有资源能否足项目的建设，调查现有人力、硬件设备、软件系统、数据和资金续航能力等是否能够足以完成项目建设；</w:t>
      </w:r>
      <w:r>
        <w:t xml:space="preserve"> </w:t>
      </w:r>
    </w:p>
    <w:p>
      <w:pPr>
        <w:ind w:firstLine="420" w:firstLineChars="200"/>
        <w:rPr>
          <w:color w:val="FF0000"/>
        </w:rPr>
      </w:pPr>
      <w:r>
        <w:rPr>
          <w:rFonts w:hint="eastAsia"/>
        </w:rPr>
        <w:t>四，确定初步的实施方案，确定好项目的总体和详细目标、项目范围，总体结构和组成，核心技术和关键问题、产品的功能与性能。</w:t>
      </w:r>
    </w:p>
    <w:p>
      <w:pPr>
        <w:ind w:firstLine="210" w:firstLineChars="100"/>
        <w:rPr>
          <w:color w:val="FF0000"/>
        </w:rPr>
      </w:pPr>
    </w:p>
    <w:p>
      <w:pPr>
        <w:pStyle w:val="2"/>
      </w:pPr>
      <w:bookmarkStart w:id="9" w:name="_Toc117358657"/>
      <w:r>
        <w:rPr>
          <w:rFonts w:hint="eastAsia"/>
        </w:rPr>
        <w:t>4</w:t>
      </w:r>
      <w:r>
        <w:t xml:space="preserve"> </w:t>
      </w:r>
      <w:r>
        <w:rPr>
          <w:rFonts w:hint="eastAsia"/>
        </w:rPr>
        <w:t>可选的方案</w:t>
      </w:r>
      <w:bookmarkEnd w:id="9"/>
    </w:p>
    <w:p>
      <w:pPr>
        <w:rPr>
          <w:rFonts w:hint="eastAsia"/>
          <w:b/>
          <w:bCs/>
          <w:color w:val="4472C4" w:themeColor="accent1"/>
          <w:sz w:val="32"/>
          <w:szCs w:val="32"/>
          <w:lang w:val="en-US" w:eastAsia="zh-CN"/>
          <w14:textFill>
            <w14:solidFill>
              <w14:schemeClr w14:val="accent1"/>
            </w14:solidFill>
          </w14:textFill>
        </w:rPr>
      </w:pPr>
      <w:r>
        <w:rPr>
          <w:rFonts w:hint="eastAsia"/>
          <w:b/>
          <w:bCs/>
          <w:color w:val="4472C4" w:themeColor="accent1"/>
          <w:sz w:val="32"/>
          <w:szCs w:val="32"/>
          <w:lang w:val="en-US" w:eastAsia="zh-CN"/>
          <w14:textFill>
            <w14:solidFill>
              <w14:schemeClr w14:val="accent1"/>
            </w14:solidFill>
          </w14:textFill>
        </w:rPr>
        <w:t>4.1系统流程图和数据流程图</w:t>
      </w:r>
    </w:p>
    <w:p>
      <w:pPr>
        <w:numPr>
          <w:ilvl w:val="0"/>
          <w:numId w:val="3"/>
        </w:numPr>
        <w:ind w:firstLine="420" w:firstLineChars="200"/>
        <w:rPr>
          <w:rFonts w:hint="eastAsia"/>
          <w:lang w:val="en-US" w:eastAsia="zh-CN"/>
        </w:rPr>
      </w:pPr>
      <w:r>
        <w:rPr>
          <w:rFonts w:hint="eastAsia"/>
          <w:lang w:val="en-US" w:eastAsia="zh-CN"/>
        </w:rPr>
        <w:t>系统流程图</w:t>
      </w:r>
    </w:p>
    <w:p>
      <w:pPr>
        <w:widowControl w:val="0"/>
        <w:numPr>
          <w:numId w:val="0"/>
        </w:numPr>
        <w:jc w:val="both"/>
        <w:rPr>
          <w:rFonts w:hint="eastAsia"/>
          <w:lang w:val="en-US" w:eastAsia="zh-CN"/>
        </w:rPr>
      </w:pPr>
      <w:r>
        <w:rPr>
          <w:rFonts w:hint="eastAsia"/>
          <w:lang w:val="en-US" w:eastAsia="zh-CN"/>
        </w:rPr>
        <w:drawing>
          <wp:inline distT="0" distB="0" distL="114300" distR="114300">
            <wp:extent cx="3490595" cy="2821940"/>
            <wp:effectExtent l="0" t="0" r="14605" b="12700"/>
            <wp:docPr id="4" name="图片 4" descr="sys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ysG09"/>
                    <pic:cNvPicPr>
                      <a:picLocks noChangeAspect="1"/>
                    </pic:cNvPicPr>
                  </pic:nvPicPr>
                  <pic:blipFill>
                    <a:blip r:embed="rId6"/>
                    <a:stretch>
                      <a:fillRect/>
                    </a:stretch>
                  </pic:blipFill>
                  <pic:spPr>
                    <a:xfrm>
                      <a:off x="0" y="0"/>
                      <a:ext cx="3490595" cy="2821940"/>
                    </a:xfrm>
                    <a:prstGeom prst="rect">
                      <a:avLst/>
                    </a:prstGeom>
                  </pic:spPr>
                </pic:pic>
              </a:graphicData>
            </a:graphic>
          </wp:inline>
        </w:drawing>
      </w:r>
    </w:p>
    <w:p>
      <w:pPr>
        <w:numPr>
          <w:ilvl w:val="0"/>
          <w:numId w:val="3"/>
        </w:numPr>
        <w:ind w:firstLine="420" w:firstLineChars="200"/>
        <w:rPr>
          <w:rFonts w:hint="default"/>
          <w:lang w:val="en-US" w:eastAsia="zh-CN"/>
        </w:rPr>
      </w:pPr>
      <w:r>
        <w:rPr>
          <w:rFonts w:hint="eastAsia"/>
          <w:lang w:val="en-US" w:eastAsia="zh-CN"/>
        </w:rPr>
        <w:t>数据流程图</w:t>
      </w:r>
    </w:p>
    <w:p>
      <w:pPr>
        <w:rPr>
          <w:rFonts w:hint="default"/>
          <w:b/>
          <w:bCs/>
          <w:color w:val="4472C4" w:themeColor="accent1"/>
          <w:sz w:val="32"/>
          <w:szCs w:val="32"/>
          <w:lang w:val="en-US" w:eastAsia="zh-CN"/>
          <w14:textFill>
            <w14:solidFill>
              <w14:schemeClr w14:val="accent1"/>
            </w14:solidFill>
          </w14:textFill>
        </w:rPr>
      </w:pPr>
      <w:bookmarkStart w:id="22" w:name="_GoBack"/>
      <w:r>
        <w:rPr>
          <w:rFonts w:hint="default"/>
          <w:b/>
          <w:bCs/>
          <w:color w:val="4472C4" w:themeColor="accent1"/>
          <w:sz w:val="32"/>
          <w:szCs w:val="32"/>
          <w:lang w:val="en-US" w:eastAsia="zh-CN"/>
          <w14:textFill>
            <w14:solidFill>
              <w14:schemeClr w14:val="accent1"/>
            </w14:solidFill>
          </w14:textFill>
        </w:rPr>
        <w:drawing>
          <wp:inline distT="0" distB="0" distL="114300" distR="114300">
            <wp:extent cx="4114165" cy="2302510"/>
            <wp:effectExtent l="0" t="0" r="635" b="13970"/>
            <wp:docPr id="5" name="图片 5" descr="data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ataG09"/>
                    <pic:cNvPicPr>
                      <a:picLocks noChangeAspect="1"/>
                    </pic:cNvPicPr>
                  </pic:nvPicPr>
                  <pic:blipFill>
                    <a:blip r:embed="rId7"/>
                    <a:stretch>
                      <a:fillRect/>
                    </a:stretch>
                  </pic:blipFill>
                  <pic:spPr>
                    <a:xfrm>
                      <a:off x="0" y="0"/>
                      <a:ext cx="4114165" cy="2302510"/>
                    </a:xfrm>
                    <a:prstGeom prst="rect">
                      <a:avLst/>
                    </a:prstGeom>
                  </pic:spPr>
                </pic:pic>
              </a:graphicData>
            </a:graphic>
          </wp:inline>
        </w:drawing>
      </w:r>
      <w:bookmarkEnd w:id="22"/>
    </w:p>
    <w:p>
      <w:pP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4.</w:t>
      </w:r>
      <w:r>
        <w:rPr>
          <w:rFonts w:hint="eastAsia"/>
          <w:b/>
          <w:bCs/>
          <w:color w:val="4472C4" w:themeColor="accent1"/>
          <w:sz w:val="32"/>
          <w:szCs w:val="32"/>
          <w:lang w:val="en-US" w:eastAsia="zh-CN"/>
          <w14:textFill>
            <w14:solidFill>
              <w14:schemeClr w14:val="accent1"/>
            </w14:solidFill>
          </w14:textFill>
        </w:rPr>
        <w:t>2</w:t>
      </w:r>
      <w:r>
        <w:rPr>
          <w:b/>
          <w:bCs/>
          <w:color w:val="4472C4" w:themeColor="accent1"/>
          <w:sz w:val="32"/>
          <w:szCs w:val="32"/>
          <w14:textFill>
            <w14:solidFill>
              <w14:schemeClr w14:val="accent1"/>
            </w14:solidFill>
          </w14:textFill>
        </w:rPr>
        <w:t>原有方案的优缺点、局限性及存在的问题</w:t>
      </w:r>
    </w:p>
    <w:p>
      <w:pP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4.</w:t>
      </w:r>
      <w:r>
        <w:rPr>
          <w:rFonts w:hint="eastAsia"/>
          <w:b/>
          <w:bCs/>
          <w:color w:val="4472C4" w:themeColor="accent1"/>
          <w:sz w:val="32"/>
          <w:szCs w:val="32"/>
          <w:lang w:val="en-US" w:eastAsia="zh-CN"/>
          <w14:textFill>
            <w14:solidFill>
              <w14:schemeClr w14:val="accent1"/>
            </w14:solidFill>
          </w14:textFill>
        </w:rPr>
        <w:t>3</w:t>
      </w:r>
      <w:r>
        <w:rPr>
          <w:b/>
          <w:bCs/>
          <w:color w:val="4472C4" w:themeColor="accent1"/>
          <w:sz w:val="32"/>
          <w:szCs w:val="32"/>
          <w14:textFill>
            <w14:solidFill>
              <w14:schemeClr w14:val="accent1"/>
            </w14:solidFill>
          </w14:textFill>
        </w:rPr>
        <w:t>可重用的系统，与要求之间的差距</w:t>
      </w:r>
    </w:p>
    <w:p>
      <w:pP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4.</w:t>
      </w:r>
      <w:r>
        <w:rPr>
          <w:rFonts w:hint="eastAsia"/>
          <w:b/>
          <w:bCs/>
          <w:color w:val="4472C4" w:themeColor="accent1"/>
          <w:sz w:val="32"/>
          <w:szCs w:val="32"/>
          <w:lang w:val="en-US" w:eastAsia="zh-CN"/>
          <w14:textFill>
            <w14:solidFill>
              <w14:schemeClr w14:val="accent1"/>
            </w14:solidFill>
          </w14:textFill>
        </w:rPr>
        <w:t>4</w:t>
      </w:r>
      <w:r>
        <w:rPr>
          <w:b/>
          <w:bCs/>
          <w:color w:val="4472C4" w:themeColor="accent1"/>
          <w:sz w:val="32"/>
          <w:szCs w:val="32"/>
          <w14:textFill>
            <w14:solidFill>
              <w14:schemeClr w14:val="accent1"/>
            </w14:solidFill>
          </w14:textFill>
        </w:rPr>
        <w:t>可选择的系统方案1</w:t>
      </w:r>
    </w:p>
    <w:p>
      <w:pP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4.</w:t>
      </w:r>
      <w:r>
        <w:rPr>
          <w:rFonts w:hint="eastAsia"/>
          <w:b/>
          <w:bCs/>
          <w:color w:val="4472C4" w:themeColor="accent1"/>
          <w:sz w:val="32"/>
          <w:szCs w:val="32"/>
          <w:lang w:val="en-US" w:eastAsia="zh-CN"/>
          <w14:textFill>
            <w14:solidFill>
              <w14:schemeClr w14:val="accent1"/>
            </w14:solidFill>
          </w14:textFill>
        </w:rPr>
        <w:t>5</w:t>
      </w:r>
      <w:r>
        <w:rPr>
          <w:b/>
          <w:bCs/>
          <w:color w:val="4472C4" w:themeColor="accent1"/>
          <w:sz w:val="32"/>
          <w:szCs w:val="32"/>
          <w14:textFill>
            <w14:solidFill>
              <w14:schemeClr w14:val="accent1"/>
            </w14:solidFill>
          </w14:textFill>
        </w:rPr>
        <w:t>可选择的系统方案2</w:t>
      </w:r>
    </w:p>
    <w:p>
      <w:pP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4.</w:t>
      </w:r>
      <w:r>
        <w:rPr>
          <w:rFonts w:hint="eastAsia"/>
          <w:b/>
          <w:bCs/>
          <w:color w:val="4472C4" w:themeColor="accent1"/>
          <w:sz w:val="32"/>
          <w:szCs w:val="32"/>
          <w:lang w:val="en-US" w:eastAsia="zh-CN"/>
          <w14:textFill>
            <w14:solidFill>
              <w14:schemeClr w14:val="accent1"/>
            </w14:solidFill>
          </w14:textFill>
        </w:rPr>
        <w:t>6</w:t>
      </w:r>
      <w:r>
        <w:rPr>
          <w:b/>
          <w:bCs/>
          <w:color w:val="4472C4" w:themeColor="accent1"/>
          <w:sz w:val="32"/>
          <w:szCs w:val="32"/>
          <w14:textFill>
            <w14:solidFill>
              <w14:schemeClr w14:val="accent1"/>
            </w14:solidFill>
          </w14:textFill>
        </w:rPr>
        <w:t>选择最终方案的准则</w:t>
      </w:r>
    </w:p>
    <w:p>
      <w:pPr>
        <w:rPr>
          <w:b/>
          <w:bCs/>
          <w:color w:val="4472C4" w:themeColor="accent1"/>
          <w:sz w:val="44"/>
          <w:szCs w:val="44"/>
          <w14:textFill>
            <w14:solidFill>
              <w14:schemeClr w14:val="accent1"/>
            </w14:solidFill>
          </w14:textFill>
        </w:rPr>
      </w:pPr>
    </w:p>
    <w:p>
      <w:pPr>
        <w:pStyle w:val="2"/>
      </w:pPr>
      <w:bookmarkStart w:id="10" w:name="_Toc117358658"/>
      <w:r>
        <w:t>5</w:t>
      </w:r>
      <w:r>
        <w:rPr>
          <w:rFonts w:hint="eastAsia"/>
        </w:rPr>
        <w:t xml:space="preserve"> 基础设施</w:t>
      </w:r>
      <w:bookmarkEnd w:id="10"/>
    </w:p>
    <w:p>
      <w:pPr>
        <w:outlineLvl w:val="1"/>
        <w:rPr>
          <w:rFonts w:ascii="Arial" w:hAnsi="Arial" w:cs="Arial"/>
          <w:b/>
          <w:bCs/>
          <w:sz w:val="32"/>
          <w:szCs w:val="32"/>
        </w:rPr>
      </w:pPr>
      <w:bookmarkStart w:id="11" w:name="_Toc117358659"/>
      <w:r>
        <w:rPr>
          <w:rFonts w:ascii="Arial" w:hAnsi="Arial" w:cs="Arial"/>
          <w:b/>
          <w:bCs/>
          <w:sz w:val="32"/>
          <w:szCs w:val="32"/>
        </w:rPr>
        <w:t>5.1资源需求</w:t>
      </w:r>
      <w:bookmarkEnd w:id="11"/>
    </w:p>
    <w:p>
      <w:pPr>
        <w:ind w:firstLine="420" w:firstLineChars="200"/>
      </w:pPr>
      <w:r>
        <w:rPr>
          <w:rFonts w:hint="eastAsia"/>
        </w:rPr>
        <w:t>人员：小组软件项目开发成员、客户</w:t>
      </w:r>
    </w:p>
    <w:p>
      <w:pPr>
        <w:ind w:firstLine="420" w:firstLineChars="200"/>
      </w:pPr>
      <w:r>
        <w:rPr>
          <w:rFonts w:hint="eastAsia"/>
        </w:rPr>
        <w:t>工具：</w:t>
      </w:r>
      <w:r>
        <w:t>Office、PowerDesigner、Project、Git、Axure RP、Bugzilla、Android Studio、Visual Studio Code</w:t>
      </w:r>
    </w:p>
    <w:p>
      <w:pPr>
        <w:ind w:firstLine="420" w:firstLineChars="200"/>
      </w:pPr>
      <w:r>
        <w:rPr>
          <w:rFonts w:hint="eastAsia"/>
        </w:rPr>
        <w:t>办公室：自习教室和宿舍</w:t>
      </w:r>
      <w:r>
        <w:t xml:space="preserve"> </w:t>
      </w:r>
    </w:p>
    <w:p>
      <w:pPr>
        <w:ind w:firstLine="420" w:firstLineChars="200"/>
      </w:pPr>
      <w:r>
        <w:rPr>
          <w:rFonts w:hint="eastAsia"/>
        </w:rPr>
        <w:t>实验设备：个人</w:t>
      </w:r>
      <w:r>
        <w:t xml:space="preserve"> PC机、笔记本、安卓手机</w:t>
      </w:r>
    </w:p>
    <w:p>
      <w:pPr>
        <w:outlineLvl w:val="1"/>
        <w:rPr>
          <w:rFonts w:ascii="Arial" w:hAnsi="Arial" w:cs="Arial"/>
          <w:b/>
          <w:bCs/>
          <w:sz w:val="32"/>
          <w:szCs w:val="32"/>
        </w:rPr>
      </w:pPr>
      <w:bookmarkStart w:id="12" w:name="_Toc117358660"/>
      <w:r>
        <w:rPr>
          <w:rFonts w:ascii="Arial" w:hAnsi="Arial" w:cs="Arial"/>
          <w:b/>
          <w:bCs/>
          <w:sz w:val="32"/>
          <w:szCs w:val="32"/>
        </w:rPr>
        <w:t>5.2 预算和资源分配</w:t>
      </w:r>
      <w:bookmarkEnd w:id="12"/>
    </w:p>
    <w:p>
      <w:r>
        <w:rPr>
          <w:color w:val="4472C4" w:themeColor="accent1"/>
          <w14:textFill>
            <w14:solidFill>
              <w14:schemeClr w14:val="accent1"/>
            </w14:solidFill>
          </w14:textFill>
        </w:rPr>
        <w:t xml:space="preserve"> </w:t>
      </w:r>
      <w:r>
        <w:t xml:space="preserve"> </w:t>
      </w:r>
      <w:r>
        <w:rPr>
          <w:rFonts w:hint="eastAsia"/>
        </w:rPr>
        <w:t>（一）预算：</w:t>
      </w:r>
    </w:p>
    <w:p>
      <w:pPr>
        <w:ind w:left="420" w:firstLine="420" w:firstLineChars="200"/>
        <w:rPr>
          <w:rFonts w:hint="default"/>
          <w:lang w:val="en-US"/>
        </w:rPr>
      </w:pPr>
      <w:r>
        <w:rPr>
          <w:rFonts w:hint="eastAsia"/>
        </w:rPr>
        <w:t>1）经济预算：</w:t>
      </w:r>
      <w:r>
        <w:rPr>
          <w:rFonts w:hint="eastAsia"/>
          <w:lang w:val="en-US" w:eastAsia="zh-CN"/>
        </w:rPr>
        <w:t>300</w:t>
      </w:r>
      <w:r>
        <w:rPr>
          <w:rFonts w:hint="eastAsia"/>
        </w:rPr>
        <w:t>。由于笔记本、安卓手机等设备为个人必备，所以设备成本为零。软件成本</w:t>
      </w:r>
      <w:r>
        <w:rPr>
          <w:rFonts w:hint="eastAsia"/>
          <w:lang w:val="en-US" w:eastAsia="zh-CN"/>
        </w:rPr>
        <w:t>为300，正版软件的激活使用</w:t>
      </w:r>
    </w:p>
    <w:p>
      <w:pPr>
        <w:ind w:left="420" w:firstLine="420" w:firstLineChars="200"/>
      </w:pPr>
      <w:r>
        <w:rPr>
          <w:rFonts w:hint="eastAsia"/>
        </w:rPr>
        <w:t>2）人力预算：0.5小时/天、2会议/周（周三晚18:00~19:00、周六晚18:00~19:30）</w:t>
      </w:r>
    </w:p>
    <w:p>
      <w:pPr>
        <w:ind w:left="420" w:firstLine="420" w:firstLineChars="200"/>
      </w:pPr>
      <w:r>
        <w:rPr>
          <w:rFonts w:hint="eastAsia"/>
        </w:rPr>
        <w:t xml:space="preserve"> </w:t>
      </w:r>
      <w:r>
        <w:t xml:space="preserve">           </w:t>
      </w:r>
      <w:r>
        <w:rPr>
          <w:rFonts w:hint="eastAsia"/>
        </w:rPr>
        <w:t>根据</w:t>
      </w:r>
      <w:r>
        <w:t>2021年浙江省职工</w:t>
      </w:r>
      <w:r>
        <w:rPr>
          <w:rFonts w:hint="eastAsia"/>
        </w:rPr>
        <w:t>时</w:t>
      </w:r>
      <w:r>
        <w:t>平均工资46元/小时</w:t>
      </w:r>
      <w:r>
        <w:rPr>
          <w:rFonts w:hint="eastAsia"/>
        </w:rPr>
        <w:t>：</w:t>
      </w:r>
    </w:p>
    <w:p>
      <w:pPr>
        <w:ind w:left="420" w:firstLine="420" w:firstLineChars="200"/>
      </w:pPr>
      <w:r>
        <w:tab/>
      </w:r>
      <w:r>
        <w:tab/>
      </w:r>
      <w:r>
        <w:tab/>
      </w:r>
      <w:r>
        <w:rPr>
          <w:rFonts w:hint="eastAsia"/>
        </w:rPr>
        <w:t>人力成本为：3</w:t>
      </w:r>
      <w:r>
        <w:t>.5</w:t>
      </w:r>
      <w:r>
        <w:rPr>
          <w:rFonts w:hint="eastAsia"/>
        </w:rPr>
        <w:t xml:space="preserve">小时/周/人 </w:t>
      </w:r>
      <w:r>
        <w:t>* 15</w:t>
      </w:r>
      <w:r>
        <w:rPr>
          <w:rFonts w:hint="eastAsia"/>
        </w:rPr>
        <w:t xml:space="preserve">周 </w:t>
      </w:r>
      <w:r>
        <w:t>* 46</w:t>
      </w:r>
      <w:r>
        <w:rPr>
          <w:rFonts w:hint="eastAsia"/>
        </w:rPr>
        <w:t xml:space="preserve">元/小时 </w:t>
      </w:r>
      <w:r>
        <w:t>* 3</w:t>
      </w:r>
      <w:r>
        <w:rPr>
          <w:rFonts w:hint="eastAsia"/>
        </w:rPr>
        <w:t xml:space="preserve">人 </w:t>
      </w:r>
      <w:r>
        <w:t>= 7245</w:t>
      </w:r>
      <w:r>
        <w:rPr>
          <w:rFonts w:hint="eastAsia"/>
        </w:rPr>
        <w:t>元</w:t>
      </w:r>
    </w:p>
    <w:p>
      <w:pPr>
        <w:ind w:firstLine="210" w:firstLineChars="100"/>
      </w:pPr>
      <w:r>
        <w:rPr>
          <w:rFonts w:hint="eastAsia"/>
        </w:rPr>
        <w:t>（二）资源分配：各自使用各自的机器（个人PC机、笔记本、安卓手机）。</w:t>
      </w:r>
    </w:p>
    <w:p>
      <w:pPr>
        <w:outlineLvl w:val="1"/>
        <w:rPr>
          <w:rFonts w:ascii="Arial" w:hAnsi="Arial" w:cs="Arial"/>
          <w:b/>
          <w:bCs/>
          <w:sz w:val="32"/>
          <w:szCs w:val="32"/>
        </w:rPr>
      </w:pPr>
      <w:bookmarkStart w:id="13" w:name="_Toc117358661"/>
      <w:r>
        <w:rPr>
          <w:rFonts w:ascii="Arial" w:hAnsi="Arial" w:cs="Arial"/>
          <w:b/>
          <w:bCs/>
          <w:sz w:val="32"/>
          <w:szCs w:val="32"/>
        </w:rPr>
        <w:t>5.3 系统简要描述</w:t>
      </w:r>
      <w:bookmarkEnd w:id="13"/>
    </w:p>
    <w:p>
      <w:pPr>
        <w:spacing w:line="300" w:lineRule="auto"/>
        <w:ind w:firstLine="420" w:firstLineChars="200"/>
        <w:rPr>
          <w:rFonts w:hAnsi="宋体"/>
          <w:szCs w:val="21"/>
        </w:rPr>
      </w:pPr>
      <w:r>
        <w:rPr>
          <w:rFonts w:hint="eastAsia" w:hAnsi="宋体"/>
          <w:szCs w:val="21"/>
        </w:rPr>
        <w:t>本小组的团队组织结构为民主制程序员组织结构；利用PowerDesiner进行需求分析；利用Project进行项目管理；利用AxureRP进行界面原型绘制；编程语言为JavaScript；采用面向对象的分析设计方法；利用React Native</w:t>
      </w:r>
      <w:r>
        <w:rPr>
          <w:rFonts w:hint="eastAsia"/>
          <w:sz w:val="22"/>
          <w:szCs w:val="28"/>
        </w:rPr>
        <w:t>构建Android应用</w:t>
      </w:r>
      <w:r>
        <w:rPr>
          <w:rFonts w:hint="eastAsia" w:hAnsi="宋体"/>
          <w:szCs w:val="21"/>
        </w:rPr>
        <w:t xml:space="preserve">；统一文件命名、代码版式、注释等编码规范；编码人员进行代码走查后再进行代码编译；测试人员根据测试文档进行单元测试；最后实现软件的交付。 </w:t>
      </w:r>
    </w:p>
    <w:p>
      <w:pPr>
        <w:spacing w:line="300" w:lineRule="auto"/>
        <w:ind w:firstLine="210" w:firstLineChars="100"/>
        <w:rPr>
          <w:rFonts w:hAnsi="宋体"/>
          <w:szCs w:val="21"/>
        </w:rPr>
      </w:pPr>
    </w:p>
    <w:p>
      <w:pPr>
        <w:pStyle w:val="2"/>
      </w:pPr>
      <w:bookmarkStart w:id="14" w:name="_Toc117358662"/>
      <w:r>
        <w:t>6</w:t>
      </w:r>
      <w:r>
        <w:rPr>
          <w:rFonts w:hint="eastAsia"/>
        </w:rPr>
        <w:t>经济可行性（成本一效益分析）</w:t>
      </w:r>
      <w:bookmarkEnd w:id="14"/>
    </w:p>
    <w:p>
      <w:pPr>
        <w:outlineLvl w:val="1"/>
        <w:rPr>
          <w:b/>
          <w:bCs/>
          <w:sz w:val="32"/>
          <w:szCs w:val="32"/>
        </w:rPr>
      </w:pPr>
      <w:bookmarkStart w:id="15" w:name="_Toc117358663"/>
      <w:r>
        <w:rPr>
          <w:b/>
          <w:bCs/>
          <w:sz w:val="32"/>
          <w:szCs w:val="32"/>
        </w:rPr>
        <w:t>6.1 投资</w:t>
      </w:r>
      <w:bookmarkEnd w:id="15"/>
    </w:p>
    <w:p>
      <w:pPr>
        <w:rPr>
          <w:color w:val="4472C4" w:themeColor="accent1"/>
          <w14:textFill>
            <w14:solidFill>
              <w14:schemeClr w14:val="accent1"/>
            </w14:solidFill>
          </w14:textFill>
        </w:rPr>
      </w:pPr>
      <w:r>
        <w:rPr>
          <w:color w:val="4472C4" w:themeColor="accent1"/>
          <w14:textFill>
            <w14:solidFill>
              <w14:schemeClr w14:val="accent1"/>
            </w14:solidFill>
          </w14:textFill>
        </w:rPr>
        <w:tab/>
      </w:r>
      <w:r>
        <w:rPr>
          <w:rFonts w:hint="eastAsia"/>
        </w:rPr>
        <w:t>开发软件所需的工具费用、人力费用等等；</w:t>
      </w:r>
    </w:p>
    <w:p>
      <w:pPr>
        <w:ind w:firstLine="420" w:firstLineChars="200"/>
        <w:rPr>
          <w:color w:val="4472C4" w:themeColor="accent1"/>
          <w14:textFill>
            <w14:solidFill>
              <w14:schemeClr w14:val="accent1"/>
            </w14:solidFill>
          </w14:textFill>
        </w:rPr>
      </w:pPr>
      <w:r>
        <w:t>APP 采用北斗系统，进行大学生的签到和认定，以及具有地图模式，供用户清晰掌握目的地具体位置，以及周围的建筑。所以我们可以充分利用地图的实时性和可视化，在地图中标注一些乡村的大型农家乐、乡村综合体以及其他一些游乐设施的标示，向这些商家收取一定的费用</w:t>
      </w:r>
      <w:r>
        <w:rPr>
          <w:rFonts w:hint="eastAsia"/>
        </w:rPr>
        <w:t>。</w:t>
      </w:r>
    </w:p>
    <w:p>
      <w:pPr>
        <w:outlineLvl w:val="1"/>
        <w:rPr>
          <w:b/>
          <w:bCs/>
          <w:sz w:val="32"/>
          <w:szCs w:val="32"/>
        </w:rPr>
      </w:pPr>
      <w:bookmarkStart w:id="16" w:name="_Toc117358664"/>
      <w:r>
        <w:rPr>
          <w:b/>
          <w:bCs/>
          <w:sz w:val="32"/>
          <w:szCs w:val="32"/>
        </w:rPr>
        <w:t xml:space="preserve">6.2 </w:t>
      </w:r>
      <w:r>
        <w:rPr>
          <w:rFonts w:hint="eastAsia"/>
          <w:b/>
          <w:bCs/>
          <w:sz w:val="32"/>
          <w:szCs w:val="32"/>
        </w:rPr>
        <w:t>盈利模式</w:t>
      </w:r>
      <w:bookmarkEnd w:id="16"/>
    </w:p>
    <w:p>
      <w:pPr>
        <w:ind w:firstLine="420" w:firstLineChars="200"/>
        <w:rPr>
          <w:color w:val="4472C4" w:themeColor="accent1"/>
          <w14:textFill>
            <w14:solidFill>
              <w14:schemeClr w14:val="accent1"/>
            </w14:solidFill>
          </w14:textFill>
        </w:rPr>
      </w:pPr>
      <w:r>
        <w:t>（一）景点合约</w:t>
      </w:r>
    </w:p>
    <w:p>
      <w:pPr>
        <w:ind w:firstLine="420"/>
      </w:pPr>
      <w:r>
        <w:rPr>
          <w:rFonts w:hint="eastAsia"/>
        </w:rPr>
        <w:t>1）</w:t>
      </w:r>
      <w:r>
        <w:t xml:space="preserve">与开放景点合作签订软件使用合约，为景点提供平台服务，就此收取定期合作费用。 </w:t>
      </w:r>
    </w:p>
    <w:p>
      <w:pPr>
        <w:ind w:firstLine="420" w:firstLineChars="200"/>
      </w:pPr>
      <w:r>
        <w:rPr>
          <w:rFonts w:hint="eastAsia"/>
        </w:rPr>
        <w:t>2）</w:t>
      </w:r>
      <w:r>
        <w:t>为用户免费提供乡村景区周边信息的服务</w:t>
      </w:r>
      <w:r>
        <w:rPr>
          <w:rFonts w:hint="eastAsia"/>
        </w:rPr>
        <w:t>。在第一阶段</w:t>
      </w:r>
      <w:r>
        <w:t>免费为乡村农家乐、田园综合体免费提供服务的方式，在当地乡村文旅市场占据领先地位后，向当地新旧加盟景区进行合约收费。</w:t>
      </w:r>
    </w:p>
    <w:p>
      <w:pPr>
        <w:ind w:firstLine="420" w:firstLineChars="200"/>
      </w:pPr>
      <w:r>
        <w:t>（</w:t>
      </w:r>
      <w:r>
        <w:rPr>
          <w:rFonts w:hint="eastAsia"/>
        </w:rPr>
        <w:t>二</w:t>
      </w:r>
      <w:r>
        <w:t>）社群运营</w:t>
      </w:r>
    </w:p>
    <w:p>
      <w:pPr>
        <w:ind w:firstLine="420" w:firstLineChars="200"/>
      </w:pPr>
      <w:r>
        <w:t>目前大学生可以交流相识的场合较少，课堂、社团、学生会等都带有一定局限性，而“博青带你看”平台提供了一个畅通无阻的交流渠道，类似“朋友圈”的社区功能带来亲切、温暖的氛围。由于采用的是实名制，且范围是单一大学，欺诈性信息可以得到控制，即便受骗也能做到有迹可查。大学生可以在社区中记录自己的生活，同学们可以互相认识拓展人脉，通过他人分享工作、学习、生活等的感悟，自己对于下一次实践能够有更加明确的方向。</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三</w:t>
      </w:r>
      <w:r>
        <w:rPr>
          <w:color w:val="000000" w:themeColor="text1"/>
          <w14:textFill>
            <w14:solidFill>
              <w14:schemeClr w14:val="tx1"/>
            </w14:solidFill>
          </w14:textFill>
        </w:rPr>
        <w:t>）付费入驻</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近年来，城市企业文化建设进行的如火如荼，而随着企业的发展，未来企业的核心是融合、联接、整合。基于这种企业核心的变化，企业展馆的展示形式也越来越多样化，更加关注互动性、科技型。目前，大众对企业展馆对认知较少且信息发布平台较少，而展馆导览工作人员较少。企业入驻“博青带你看”平台后，通过发布企业展览信息，进一步宣传企业文化与产品服务。借助平台，找寻专业导览人员，为企业减少相关人力成本。</w:t>
      </w:r>
    </w:p>
    <w:p>
      <w:pPr>
        <w:ind w:firstLine="420" w:firstLineChars="200"/>
        <w:rPr>
          <w:color w:val="000000" w:themeColor="text1"/>
          <w14:textFill>
            <w14:solidFill>
              <w14:schemeClr w14:val="tx1"/>
            </w14:solidFill>
          </w14:textFill>
        </w:rPr>
      </w:pPr>
    </w:p>
    <w:p>
      <w:pPr>
        <w:pStyle w:val="2"/>
      </w:pPr>
      <w:bookmarkStart w:id="17" w:name="_Toc117358665"/>
      <w:r>
        <w:t>7</w:t>
      </w:r>
      <w:r>
        <w:rPr>
          <w:rFonts w:hint="eastAsia"/>
        </w:rPr>
        <w:t>技术可行性(技术风险评价)</w:t>
      </w:r>
      <w:bookmarkEnd w:id="17"/>
    </w:p>
    <w:p>
      <w:pPr>
        <w:rPr>
          <w:color w:val="4472C4" w:themeColor="accent1"/>
          <w14:textFill>
            <w14:solidFill>
              <w14:schemeClr w14:val="accent1"/>
            </w14:solidFill>
          </w14:textFill>
        </w:rPr>
      </w:pPr>
    </w:p>
    <w:tbl>
      <w:tblPr>
        <w:tblStyle w:val="10"/>
        <w:tblW w:w="0" w:type="auto"/>
        <w:tblInd w:w="423"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705"/>
        <w:gridCol w:w="2447"/>
        <w:gridCol w:w="281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20" w:hRule="atLeast"/>
          <w:tblHeader/>
        </w:trPr>
        <w:tc>
          <w:tcPr>
            <w:tcW w:w="808" w:type="dxa"/>
            <w:tcBorders>
              <w:top w:val="single" w:color="auto" w:sz="12" w:space="0"/>
              <w:bottom w:val="single" w:color="auto" w:sz="4" w:space="0"/>
            </w:tcBorders>
            <w:vAlign w:val="center"/>
          </w:tcPr>
          <w:p>
            <w:pPr>
              <w:widowControl/>
              <w:jc w:val="center"/>
              <w:rPr>
                <w:rFonts w:hAnsi="宋体"/>
                <w:b/>
                <w:color w:val="000000"/>
              </w:rPr>
            </w:pPr>
            <w:r>
              <w:rPr>
                <w:rFonts w:hint="eastAsia" w:hAnsi="宋体"/>
                <w:b/>
                <w:color w:val="000000"/>
              </w:rPr>
              <w:t>风险排序</w:t>
            </w:r>
          </w:p>
        </w:tc>
        <w:tc>
          <w:tcPr>
            <w:tcW w:w="2705" w:type="dxa"/>
            <w:tcBorders>
              <w:top w:val="single" w:color="auto" w:sz="12" w:space="0"/>
              <w:bottom w:val="single" w:color="auto" w:sz="4" w:space="0"/>
            </w:tcBorders>
            <w:vAlign w:val="center"/>
          </w:tcPr>
          <w:p>
            <w:pPr>
              <w:widowControl/>
              <w:jc w:val="center"/>
              <w:rPr>
                <w:rFonts w:hAnsi="宋体"/>
                <w:b/>
                <w:color w:val="000000"/>
              </w:rPr>
            </w:pPr>
            <w:r>
              <w:rPr>
                <w:rFonts w:hint="eastAsia" w:hAnsi="宋体"/>
                <w:b/>
                <w:color w:val="000000"/>
              </w:rPr>
              <w:t>风险项名称</w:t>
            </w:r>
          </w:p>
        </w:tc>
        <w:tc>
          <w:tcPr>
            <w:tcW w:w="2447" w:type="dxa"/>
            <w:tcBorders>
              <w:top w:val="single" w:color="auto" w:sz="12" w:space="0"/>
              <w:bottom w:val="single" w:color="auto" w:sz="4" w:space="0"/>
            </w:tcBorders>
            <w:vAlign w:val="center"/>
          </w:tcPr>
          <w:p>
            <w:pPr>
              <w:widowControl/>
              <w:jc w:val="center"/>
              <w:rPr>
                <w:rFonts w:hAnsi="宋体"/>
                <w:b/>
                <w:color w:val="000000"/>
              </w:rPr>
            </w:pPr>
            <w:r>
              <w:rPr>
                <w:rFonts w:hint="eastAsia" w:hAnsi="宋体"/>
                <w:b/>
                <w:color w:val="000000"/>
              </w:rPr>
              <w:t>风险描述</w:t>
            </w:r>
          </w:p>
        </w:tc>
        <w:tc>
          <w:tcPr>
            <w:tcW w:w="2813" w:type="dxa"/>
            <w:tcBorders>
              <w:top w:val="single" w:color="auto" w:sz="12" w:space="0"/>
              <w:bottom w:val="single" w:color="auto" w:sz="4" w:space="0"/>
            </w:tcBorders>
            <w:vAlign w:val="center"/>
          </w:tcPr>
          <w:p>
            <w:pPr>
              <w:widowControl/>
              <w:jc w:val="center"/>
              <w:rPr>
                <w:rFonts w:hAnsi="宋体"/>
                <w:b/>
                <w:color w:val="000000"/>
              </w:rPr>
            </w:pPr>
            <w:r>
              <w:rPr>
                <w:rFonts w:hint="eastAsia" w:hAnsi="宋体"/>
                <w:b/>
                <w:color w:val="000000"/>
              </w:rPr>
              <w:t>风险缓解方案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tcBorders>
              <w:top w:val="single" w:color="auto" w:sz="4" w:space="0"/>
            </w:tcBorders>
            <w:vAlign w:val="center"/>
          </w:tcPr>
          <w:p>
            <w:pPr>
              <w:widowControl/>
              <w:jc w:val="center"/>
              <w:rPr>
                <w:rFonts w:hAnsi="宋体"/>
                <w:sz w:val="24"/>
              </w:rPr>
            </w:pPr>
            <w:r>
              <w:rPr>
                <w:rFonts w:hint="eastAsia" w:hAnsi="宋体"/>
                <w:sz w:val="24"/>
              </w:rPr>
              <w:t>1</w:t>
            </w:r>
          </w:p>
        </w:tc>
        <w:tc>
          <w:tcPr>
            <w:tcW w:w="2705" w:type="dxa"/>
            <w:tcBorders>
              <w:top w:val="single" w:color="auto" w:sz="4" w:space="0"/>
            </w:tcBorders>
            <w:vAlign w:val="center"/>
          </w:tcPr>
          <w:p>
            <w:pPr>
              <w:widowControl/>
              <w:jc w:val="center"/>
              <w:rPr>
                <w:rFonts w:hAnsi="宋体"/>
                <w:sz w:val="24"/>
              </w:rPr>
            </w:pPr>
            <w:r>
              <w:rPr>
                <w:rFonts w:hint="eastAsia" w:hAnsi="宋体"/>
                <w:sz w:val="24"/>
              </w:rPr>
              <w:t>项目时间短</w:t>
            </w:r>
          </w:p>
        </w:tc>
        <w:tc>
          <w:tcPr>
            <w:tcW w:w="2447" w:type="dxa"/>
            <w:tcBorders>
              <w:top w:val="single" w:color="auto" w:sz="4" w:space="0"/>
            </w:tcBorders>
            <w:vAlign w:val="center"/>
          </w:tcPr>
          <w:p>
            <w:pPr>
              <w:widowControl/>
              <w:jc w:val="center"/>
              <w:rPr>
                <w:rFonts w:hAnsi="宋体"/>
                <w:sz w:val="24"/>
              </w:rPr>
            </w:pPr>
            <w:r>
              <w:rPr>
                <w:rFonts w:hint="eastAsia" w:hAnsi="宋体"/>
                <w:sz w:val="24"/>
              </w:rPr>
              <w:t>资源风险</w:t>
            </w:r>
          </w:p>
        </w:tc>
        <w:tc>
          <w:tcPr>
            <w:tcW w:w="2813" w:type="dxa"/>
            <w:tcBorders>
              <w:top w:val="single" w:color="auto" w:sz="4" w:space="0"/>
            </w:tcBorders>
            <w:vAlign w:val="center"/>
          </w:tcPr>
          <w:p>
            <w:pPr>
              <w:widowControl/>
              <w:jc w:val="center"/>
              <w:rPr>
                <w:rFonts w:hAnsi="宋体"/>
                <w:sz w:val="24"/>
              </w:rPr>
            </w:pPr>
            <w:r>
              <w:rPr>
                <w:rFonts w:hint="eastAsia" w:hAnsi="宋体"/>
                <w:sz w:val="24"/>
              </w:rPr>
              <w:t>提高工作效率、合理安排开发计划</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2</w:t>
            </w:r>
          </w:p>
        </w:tc>
        <w:tc>
          <w:tcPr>
            <w:tcW w:w="2705" w:type="dxa"/>
            <w:vAlign w:val="center"/>
          </w:tcPr>
          <w:p>
            <w:pPr>
              <w:widowControl/>
              <w:jc w:val="center"/>
              <w:rPr>
                <w:rFonts w:hAnsi="宋体"/>
                <w:sz w:val="24"/>
              </w:rPr>
            </w:pPr>
            <w:r>
              <w:rPr>
                <w:rFonts w:hint="eastAsia" w:hAnsi="宋体"/>
                <w:sz w:val="24"/>
              </w:rPr>
              <w:t>缺乏开发经验</w:t>
            </w:r>
          </w:p>
        </w:tc>
        <w:tc>
          <w:tcPr>
            <w:tcW w:w="2447" w:type="dxa"/>
            <w:vAlign w:val="center"/>
          </w:tcPr>
          <w:p>
            <w:pPr>
              <w:pStyle w:val="15"/>
              <w:keepNext w:val="0"/>
              <w:keepLines w:val="0"/>
              <w:widowControl/>
              <w:spacing w:before="0" w:after="0"/>
              <w:rPr>
                <w:rFonts w:hAnsi="宋体" w:eastAsia="宋体"/>
                <w:kern w:val="2"/>
              </w:rPr>
            </w:pPr>
            <w:r>
              <w:rPr>
                <w:rFonts w:hint="eastAsia" w:hAnsi="宋体" w:eastAsia="宋体"/>
                <w:kern w:val="2"/>
              </w:rPr>
              <w:t>技术风险</w:t>
            </w:r>
          </w:p>
        </w:tc>
        <w:tc>
          <w:tcPr>
            <w:tcW w:w="2813" w:type="dxa"/>
            <w:vAlign w:val="center"/>
          </w:tcPr>
          <w:p>
            <w:pPr>
              <w:widowControl/>
              <w:jc w:val="center"/>
              <w:rPr>
                <w:rFonts w:hAnsi="宋体"/>
                <w:sz w:val="24"/>
              </w:rPr>
            </w:pPr>
            <w:r>
              <w:rPr>
                <w:rFonts w:hint="eastAsia" w:hAnsi="宋体"/>
                <w:sz w:val="24"/>
              </w:rPr>
              <w:t>多问指导老师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3</w:t>
            </w:r>
          </w:p>
        </w:tc>
        <w:tc>
          <w:tcPr>
            <w:tcW w:w="2705" w:type="dxa"/>
            <w:vAlign w:val="center"/>
          </w:tcPr>
          <w:p>
            <w:pPr>
              <w:widowControl/>
              <w:jc w:val="center"/>
              <w:rPr>
                <w:rFonts w:hAnsi="宋体"/>
                <w:sz w:val="24"/>
              </w:rPr>
            </w:pPr>
            <w:r>
              <w:rPr>
                <w:rFonts w:hint="eastAsia" w:hAnsi="宋体"/>
                <w:sz w:val="24"/>
              </w:rPr>
              <w:t>对Java Script语言掌握不扎实</w:t>
            </w:r>
          </w:p>
        </w:tc>
        <w:tc>
          <w:tcPr>
            <w:tcW w:w="2447" w:type="dxa"/>
            <w:vAlign w:val="center"/>
          </w:tcPr>
          <w:p>
            <w:pPr>
              <w:widowControl/>
              <w:jc w:val="center"/>
              <w:rPr>
                <w:rFonts w:hAnsi="宋体"/>
                <w:sz w:val="24"/>
              </w:rPr>
            </w:pPr>
            <w:r>
              <w:rPr>
                <w:rFonts w:hint="eastAsia" w:hAnsi="宋体"/>
                <w:sz w:val="24"/>
              </w:rPr>
              <w:t>技术风险</w:t>
            </w:r>
          </w:p>
        </w:tc>
        <w:tc>
          <w:tcPr>
            <w:tcW w:w="2813" w:type="dxa"/>
            <w:vAlign w:val="center"/>
          </w:tcPr>
          <w:p>
            <w:pPr>
              <w:widowControl/>
              <w:jc w:val="center"/>
              <w:rPr>
                <w:rFonts w:hAnsi="宋体"/>
                <w:sz w:val="24"/>
              </w:rPr>
            </w:pPr>
            <w:r>
              <w:rPr>
                <w:rFonts w:hint="eastAsia" w:hAnsi="宋体"/>
                <w:sz w:val="24"/>
              </w:rPr>
              <w:t>通过资料和学习课件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4</w:t>
            </w:r>
          </w:p>
        </w:tc>
        <w:tc>
          <w:tcPr>
            <w:tcW w:w="2705" w:type="dxa"/>
            <w:vAlign w:val="center"/>
          </w:tcPr>
          <w:p>
            <w:pPr>
              <w:widowControl/>
              <w:jc w:val="center"/>
              <w:rPr>
                <w:rFonts w:hAnsi="宋体"/>
                <w:sz w:val="24"/>
              </w:rPr>
            </w:pPr>
            <w:r>
              <w:rPr>
                <w:rFonts w:hint="eastAsia" w:hAnsi="宋体"/>
                <w:sz w:val="24"/>
              </w:rPr>
              <w:t>时间安排不够合理</w:t>
            </w:r>
          </w:p>
        </w:tc>
        <w:tc>
          <w:tcPr>
            <w:tcW w:w="2447" w:type="dxa"/>
            <w:vAlign w:val="center"/>
          </w:tcPr>
          <w:p>
            <w:pPr>
              <w:widowControl/>
              <w:jc w:val="center"/>
              <w:rPr>
                <w:rFonts w:hAnsi="宋体"/>
                <w:sz w:val="24"/>
              </w:rPr>
            </w:pPr>
            <w:r>
              <w:rPr>
                <w:rFonts w:hint="eastAsia" w:hAnsi="宋体"/>
                <w:sz w:val="24"/>
              </w:rPr>
              <w:t>进度风险</w:t>
            </w:r>
          </w:p>
        </w:tc>
        <w:tc>
          <w:tcPr>
            <w:tcW w:w="2813" w:type="dxa"/>
            <w:vAlign w:val="center"/>
          </w:tcPr>
          <w:p>
            <w:pPr>
              <w:widowControl/>
              <w:jc w:val="center"/>
              <w:rPr>
                <w:rFonts w:hAnsi="宋体"/>
                <w:sz w:val="24"/>
              </w:rPr>
            </w:pPr>
            <w:r>
              <w:rPr>
                <w:rFonts w:hint="eastAsia" w:hAnsi="宋体"/>
                <w:sz w:val="24"/>
              </w:rPr>
              <w:t>对开发进度进行实时监控进行调整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5</w:t>
            </w:r>
          </w:p>
        </w:tc>
        <w:tc>
          <w:tcPr>
            <w:tcW w:w="2705" w:type="dxa"/>
            <w:vAlign w:val="center"/>
          </w:tcPr>
          <w:p>
            <w:pPr>
              <w:widowControl/>
              <w:jc w:val="center"/>
              <w:rPr>
                <w:sz w:val="24"/>
              </w:rPr>
            </w:pPr>
            <w:r>
              <w:rPr>
                <w:rFonts w:hint="eastAsia"/>
                <w:sz w:val="24"/>
              </w:rPr>
              <w:t>计算机故障</w:t>
            </w:r>
          </w:p>
        </w:tc>
        <w:tc>
          <w:tcPr>
            <w:tcW w:w="2447" w:type="dxa"/>
            <w:vAlign w:val="center"/>
          </w:tcPr>
          <w:p>
            <w:pPr>
              <w:widowControl/>
              <w:jc w:val="center"/>
              <w:rPr>
                <w:rFonts w:hAnsi="宋体"/>
                <w:sz w:val="24"/>
              </w:rPr>
            </w:pPr>
            <w:r>
              <w:rPr>
                <w:rFonts w:hint="eastAsia" w:hAnsi="宋体"/>
                <w:sz w:val="24"/>
              </w:rPr>
              <w:t>资源风险</w:t>
            </w:r>
          </w:p>
        </w:tc>
        <w:tc>
          <w:tcPr>
            <w:tcW w:w="2813" w:type="dxa"/>
            <w:vAlign w:val="center"/>
          </w:tcPr>
          <w:p>
            <w:pPr>
              <w:widowControl/>
              <w:jc w:val="center"/>
              <w:rPr>
                <w:rFonts w:hAnsi="宋体"/>
                <w:sz w:val="24"/>
              </w:rPr>
            </w:pPr>
            <w:r>
              <w:rPr>
                <w:rFonts w:hint="eastAsia" w:hAnsi="宋体"/>
                <w:sz w:val="24"/>
              </w:rPr>
              <w:t>提前完成任务</w:t>
            </w:r>
          </w:p>
          <w:p>
            <w:pPr>
              <w:widowControl/>
              <w:jc w:val="center"/>
              <w:rPr>
                <w:rFonts w:hAnsi="宋体"/>
                <w:sz w:val="24"/>
              </w:rPr>
            </w:pPr>
            <w:r>
              <w:rPr>
                <w:rFonts w:hint="eastAsia" w:hAnsi="宋体"/>
                <w:sz w:val="24"/>
              </w:rPr>
              <w:t>尽快解决问题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6</w:t>
            </w:r>
          </w:p>
        </w:tc>
        <w:tc>
          <w:tcPr>
            <w:tcW w:w="2705" w:type="dxa"/>
            <w:vAlign w:val="center"/>
          </w:tcPr>
          <w:p>
            <w:pPr>
              <w:widowControl/>
              <w:jc w:val="center"/>
              <w:rPr>
                <w:sz w:val="24"/>
              </w:rPr>
            </w:pPr>
            <w:r>
              <w:rPr>
                <w:rFonts w:hint="eastAsia"/>
                <w:sz w:val="24"/>
              </w:rPr>
              <w:t>人员病假，离职，事假</w:t>
            </w:r>
          </w:p>
        </w:tc>
        <w:tc>
          <w:tcPr>
            <w:tcW w:w="2447" w:type="dxa"/>
            <w:vAlign w:val="center"/>
          </w:tcPr>
          <w:p>
            <w:pPr>
              <w:widowControl/>
              <w:jc w:val="center"/>
              <w:rPr>
                <w:rFonts w:hAnsi="宋体"/>
                <w:sz w:val="24"/>
              </w:rPr>
            </w:pPr>
            <w:r>
              <w:rPr>
                <w:rFonts w:hint="eastAsia" w:hAnsi="宋体"/>
                <w:sz w:val="24"/>
              </w:rPr>
              <w:t>人员风险</w:t>
            </w:r>
          </w:p>
        </w:tc>
        <w:tc>
          <w:tcPr>
            <w:tcW w:w="2813" w:type="dxa"/>
            <w:vAlign w:val="center"/>
          </w:tcPr>
          <w:p>
            <w:pPr>
              <w:widowControl/>
              <w:jc w:val="center"/>
              <w:rPr>
                <w:rFonts w:hAnsi="宋体"/>
                <w:sz w:val="24"/>
              </w:rPr>
            </w:pPr>
            <w:r>
              <w:rPr>
                <w:rFonts w:hint="eastAsia" w:hAnsi="宋体"/>
                <w:sz w:val="24"/>
              </w:rPr>
              <w:t>及时调配人员</w:t>
            </w:r>
          </w:p>
        </w:tc>
      </w:tr>
    </w:tbl>
    <w:p>
      <w:pPr>
        <w:rPr>
          <w:color w:val="FF0000"/>
        </w:rPr>
      </w:pPr>
    </w:p>
    <w:p>
      <w:pPr>
        <w:pStyle w:val="2"/>
      </w:pPr>
      <w:bookmarkStart w:id="18" w:name="_Toc117358666"/>
      <w:r>
        <w:t>8</w:t>
      </w:r>
      <w:r>
        <w:rPr>
          <w:rFonts w:hint="eastAsia"/>
        </w:rPr>
        <w:t>法律可行性</w:t>
      </w:r>
      <w:bookmarkEnd w:id="18"/>
    </w:p>
    <w:p>
      <w:pPr>
        <w:ind w:firstLine="420" w:firstLineChars="200"/>
        <w:rPr>
          <w:rFonts w:hint="eastAsia"/>
        </w:rPr>
      </w:pPr>
      <w:r>
        <w:rPr>
          <w:rFonts w:hint="eastAsia"/>
        </w:rPr>
        <w:t>（一）</w:t>
      </w:r>
      <w:r>
        <w:t>遵循中华人民共和国《著作权法》、《计算机软件保护条例》等相关法律法规：</w:t>
      </w:r>
    </w:p>
    <w:p>
      <w:pPr>
        <w:rPr>
          <w:rFonts w:hint="eastAsia"/>
        </w:rPr>
      </w:pPr>
      <w:r>
        <w:rPr>
          <w:rFonts w:hint="eastAsia"/>
        </w:rPr>
        <w:t>　　据《中华人民共和国著作权法》第一章第三条第八款规定，本法所称的作品，包括以下列形式创作的文学、艺术和自然科学、社会科学、工程技术等作品——（八）计算机软件。第二十条，作者的署</w:t>
      </w:r>
      <w:r>
        <w:t>名权、修改权、保护作品完整权的保护期不受限制。</w:t>
      </w:r>
    </w:p>
    <w:p>
      <w:pPr>
        <w:rPr>
          <w:rFonts w:hint="eastAsia"/>
        </w:rPr>
      </w:pPr>
      <w:r>
        <w:rPr>
          <w:rFonts w:hint="eastAsia"/>
        </w:rPr>
        <w:t>　　据《计算机软件保护条例》第二章第十四条规定，软件著作权自软件开发完成之日起产生。自然人的软件著作权，保护期为自然人终生及其死亡后</w:t>
      </w:r>
      <w:r>
        <w:t xml:space="preserve">50年，截止于自然人死亡后第50年的12月31日；软件是合作开发的，截止于最后死亡的自然人死亡后第50年的12月31日。法人或者其他组织的软件著作权，保护期为50年，截止于软件首次发表后第50年的12月31日，但软件自开发完成之日起50年内未发表的，本条例不再保护。 </w:t>
      </w:r>
    </w:p>
    <w:p>
      <w:pPr>
        <w:ind w:firstLine="420" w:firstLineChars="200"/>
        <w:rPr>
          <w:rFonts w:hint="eastAsia"/>
        </w:rPr>
      </w:pPr>
      <w:r>
        <w:rPr>
          <w:rFonts w:hint="eastAsia"/>
        </w:rPr>
        <w:t>（二</w:t>
      </w:r>
      <w:r>
        <w:t>）使用正版软件进行设计和开发。</w:t>
      </w:r>
    </w:p>
    <w:p>
      <w:pPr>
        <w:ind w:firstLine="420" w:firstLineChars="200"/>
        <w:rPr>
          <w:rFonts w:hint="eastAsia"/>
        </w:rPr>
      </w:pPr>
      <w:r>
        <w:rPr>
          <w:rFonts w:hint="eastAsia"/>
        </w:rPr>
        <w:t>（三</w:t>
      </w:r>
      <w:r>
        <w:t>）所有技术资料都由提出方保管。</w:t>
      </w:r>
    </w:p>
    <w:p>
      <w:pPr>
        <w:ind w:firstLine="420" w:firstLineChars="200"/>
        <w:rPr>
          <w:rFonts w:hint="eastAsia"/>
        </w:rPr>
      </w:pPr>
      <w:r>
        <w:rPr>
          <w:rFonts w:hint="eastAsia"/>
        </w:rPr>
        <w:t>（四</w:t>
      </w:r>
      <w:r>
        <w:t>）与用户签订合同，明确违约责任划分。</w:t>
      </w:r>
    </w:p>
    <w:p>
      <w:pPr>
        <w:rPr>
          <w:rFonts w:hint="eastAsia"/>
        </w:rPr>
      </w:pPr>
      <w:r>
        <w:rPr>
          <w:rFonts w:hint="eastAsia"/>
        </w:rPr>
        <w:t>　</w:t>
      </w:r>
      <w:r>
        <w:t xml:space="preserve"> 《计算机软件保护条例》第二章第十一条——接受他人委托开发的软件，其著作权的归属由委托人与受托人签订书面合同约定；无书面合同或者合同未作明确约定的，其著作权由受托人享有。</w:t>
      </w:r>
    </w:p>
    <w:p>
      <w:pPr>
        <w:pStyle w:val="2"/>
      </w:pPr>
      <w:bookmarkStart w:id="19" w:name="_Toc117358667"/>
      <w:r>
        <w:t>9</w:t>
      </w:r>
      <w:r>
        <w:rPr>
          <w:rFonts w:hint="eastAsia"/>
        </w:rPr>
        <w:t>操作可行性</w:t>
      </w:r>
      <w:bookmarkEnd w:id="19"/>
      <w:r>
        <w:rPr>
          <w:rFonts w:hint="eastAsia"/>
        </w:rPr>
        <w:t xml:space="preserve"> </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1、本软件面向的是文旅地、大学生志愿者、旅客消费者等青年群体，他们能快速掌握软件的操作。</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2、本软件提供新手教程，帮助用户快速熟悉软件的结构。</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3、本软件基于APP志愿汇，有用户基础。</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4、本软件界面简洁友好，便于用户使用。</w:t>
      </w:r>
    </w:p>
    <w:p>
      <w:pPr>
        <w:pStyle w:val="2"/>
      </w:pPr>
      <w:bookmarkStart w:id="20" w:name="_Toc117358668"/>
      <w:r>
        <w:t>10其他与项目有关的问题</w:t>
      </w:r>
      <w:bookmarkEnd w:id="20"/>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未来可能的变化。</w:t>
      </w:r>
    </w:p>
    <w:p>
      <w:pPr>
        <w:pStyle w:val="2"/>
      </w:pPr>
      <w:bookmarkStart w:id="21" w:name="_Toc117358669"/>
      <w:r>
        <w:t>11注解</w:t>
      </w:r>
      <w:bookmarkEnd w:id="21"/>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本章应包含有助于理解本文档的一般信息</w:t>
      </w:r>
      <w:r>
        <w:rPr>
          <w:color w:val="4472C4" w:themeColor="accent1"/>
          <w14:textFill>
            <w14:solidFill>
              <w14:schemeClr w14:val="accent1"/>
            </w14:solidFill>
          </w14:textFill>
        </w:rPr>
        <w:t>(例如原理)。本章应包含为理解本文档需要的术语</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和定义，所有缩略语和它们在文档中的含义的字母序列表。</w:t>
      </w:r>
    </w:p>
    <w:p>
      <w:pPr>
        <w:rPr>
          <w:b/>
          <w:bCs/>
          <w:color w:val="4472C4" w:themeColor="accent1"/>
          <w:sz w:val="44"/>
          <w:szCs w:val="44"/>
          <w14:textFill>
            <w14:solidFill>
              <w14:schemeClr w14:val="accent1"/>
            </w14:solidFill>
          </w14:textFill>
        </w:rPr>
      </w:pPr>
      <w:r>
        <w:rPr>
          <w:rFonts w:hint="eastAsia"/>
          <w:b/>
          <w:bCs/>
          <w:color w:val="4472C4" w:themeColor="accent1"/>
          <w:sz w:val="44"/>
          <w:szCs w:val="44"/>
          <w14:textFill>
            <w14:solidFill>
              <w14:schemeClr w14:val="accent1"/>
            </w14:solidFill>
          </w14:textFill>
        </w:rPr>
        <w:t>附录</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附录可用来提供那些为便于文档维护而单独出版的信息</w:t>
      </w:r>
      <w:r>
        <w:rPr>
          <w:color w:val="4472C4" w:themeColor="accent1"/>
          <w14:textFill>
            <w14:solidFill>
              <w14:schemeClr w14:val="accent1"/>
            </w14:solidFill>
          </w14:textFill>
        </w:rPr>
        <w:t>(例如图表、分类数据)。为便于处理，</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附录可单独装订成册。附录应按字母顺序</w:t>
      </w:r>
      <w:r>
        <w:rPr>
          <w:color w:val="4472C4" w:themeColor="accent1"/>
          <w14:textFill>
            <w14:solidFill>
              <w14:schemeClr w14:val="accent1"/>
            </w14:solidFill>
          </w14:textFill>
        </w:rPr>
        <w:t>(A.B等)编排。</w:t>
      </w:r>
    </w:p>
    <w:p>
      <w:pPr>
        <w:rPr>
          <w:color w:val="000000" w:themeColor="text1"/>
          <w14:textFill>
            <w14:solidFill>
              <w14:schemeClr w14:val="tx1"/>
            </w14:solidFill>
          </w14:textFill>
        </w:rPr>
      </w:pPr>
    </w:p>
    <w:p>
      <w:pPr>
        <w:rPr>
          <w:color w:val="4472C4" w:themeColor="accent1"/>
          <w14:textFill>
            <w14:solidFill>
              <w14:schemeClr w14:val="accent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A7576"/>
    <w:multiLevelType w:val="multilevel"/>
    <w:tmpl w:val="987A7576"/>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A254B7E6"/>
    <w:multiLevelType w:val="singleLevel"/>
    <w:tmpl w:val="A254B7E6"/>
    <w:lvl w:ilvl="0" w:tentative="0">
      <w:start w:val="1"/>
      <w:numFmt w:val="decimal"/>
      <w:suff w:val="space"/>
      <w:lvlText w:val="%1."/>
      <w:lvlJc w:val="left"/>
    </w:lvl>
  </w:abstractNum>
  <w:abstractNum w:abstractNumId="2">
    <w:nsid w:val="726E4260"/>
    <w:multiLevelType w:val="singleLevel"/>
    <w:tmpl w:val="726E4260"/>
    <w:lvl w:ilvl="0" w:tentative="0">
      <w:start w:val="1"/>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FhZTQ2MDE0Nzk2MDZmYTEwZjA5Y2Y5NjJlMDczNjEifQ=="/>
  </w:docVars>
  <w:rsids>
    <w:rsidRoot w:val="005B123D"/>
    <w:rsid w:val="00044F85"/>
    <w:rsid w:val="00136779"/>
    <w:rsid w:val="00176A25"/>
    <w:rsid w:val="001A0DDB"/>
    <w:rsid w:val="001B75A5"/>
    <w:rsid w:val="00432478"/>
    <w:rsid w:val="004F4CDB"/>
    <w:rsid w:val="005B123D"/>
    <w:rsid w:val="00695BFC"/>
    <w:rsid w:val="00697E4E"/>
    <w:rsid w:val="00731E32"/>
    <w:rsid w:val="007927D5"/>
    <w:rsid w:val="00877AFC"/>
    <w:rsid w:val="00880524"/>
    <w:rsid w:val="009471D4"/>
    <w:rsid w:val="009F405B"/>
    <w:rsid w:val="00A26479"/>
    <w:rsid w:val="00BF6B63"/>
    <w:rsid w:val="00CE16B0"/>
    <w:rsid w:val="00DB3BE1"/>
    <w:rsid w:val="00E05A79"/>
    <w:rsid w:val="00E4442B"/>
    <w:rsid w:val="00EB0DEC"/>
    <w:rsid w:val="00F3470E"/>
    <w:rsid w:val="1426127B"/>
    <w:rsid w:val="23E75EC1"/>
    <w:rsid w:val="2CC37A88"/>
    <w:rsid w:val="38E26DA6"/>
    <w:rsid w:val="392D4287"/>
    <w:rsid w:val="3CC20B38"/>
    <w:rsid w:val="464364CB"/>
    <w:rsid w:val="524E5126"/>
    <w:rsid w:val="5AF97976"/>
    <w:rsid w:val="5EF41CA4"/>
    <w:rsid w:val="6A3D1E30"/>
    <w:rsid w:val="6D0F7108"/>
    <w:rsid w:val="71AD7033"/>
    <w:rsid w:val="77D71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2"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outlineLvl w:val="2"/>
    </w:pPr>
    <w:rPr>
      <w:b/>
      <w:sz w:val="28"/>
    </w:rPr>
  </w:style>
  <w:style w:type="paragraph" w:styleId="4">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widowControl/>
      <w:spacing w:after="100" w:line="259" w:lineRule="auto"/>
      <w:ind w:left="440"/>
      <w:jc w:val="left"/>
    </w:pPr>
    <w:rPr>
      <w:rFonts w:cs="Times New Roman"/>
      <w:kern w:val="0"/>
      <w:sz w:val="22"/>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3">
    <w:name w:val="页眉 字符"/>
    <w:basedOn w:val="11"/>
    <w:link w:val="7"/>
    <w:uiPriority w:val="99"/>
    <w:rPr>
      <w:sz w:val="18"/>
      <w:szCs w:val="18"/>
    </w:rPr>
  </w:style>
  <w:style w:type="character" w:customStyle="1" w:styleId="14">
    <w:name w:val="页脚 字符"/>
    <w:basedOn w:val="11"/>
    <w:link w:val="6"/>
    <w:uiPriority w:val="99"/>
    <w:rPr>
      <w:sz w:val="18"/>
      <w:szCs w:val="18"/>
    </w:rPr>
  </w:style>
  <w:style w:type="paragraph" w:customStyle="1" w:styleId="15">
    <w:name w:val="表头"/>
    <w:basedOn w:val="1"/>
    <w:uiPriority w:val="0"/>
    <w:pPr>
      <w:keepNext/>
      <w:keepLines/>
      <w:spacing w:before="120" w:after="120"/>
      <w:jc w:val="center"/>
    </w:pPr>
    <w:rPr>
      <w:rFonts w:eastAsia="黑体"/>
      <w:kern w:val="44"/>
      <w:sz w:val="24"/>
      <w:szCs w:val="20"/>
    </w:rPr>
  </w:style>
  <w:style w:type="paragraph" w:customStyle="1" w:styleId="16">
    <w:name w:val="WPSOffice手动目录 1"/>
    <w:uiPriority w:val="0"/>
    <w:rPr>
      <w:rFonts w:ascii="Times New Roman" w:hAnsi="Times New Roman" w:eastAsia="宋体" w:cs="Times New Roman"/>
      <w:lang w:val="en-US" w:eastAsia="zh-CN" w:bidi="ar-SA"/>
    </w:rPr>
  </w:style>
  <w:style w:type="paragraph" w:customStyle="1" w:styleId="17">
    <w:name w:val="WPSOffice手动目录 2"/>
    <w:uiPriority w:val="0"/>
    <w:pPr>
      <w:ind w:left="200" w:leftChars="200"/>
    </w:pPr>
    <w:rPr>
      <w:rFonts w:ascii="Times New Roman" w:hAnsi="Times New Roman" w:eastAsia="宋体" w:cs="Times New Roman"/>
      <w:lang w:val="en-US" w:eastAsia="zh-CN" w:bidi="ar-SA"/>
    </w:rPr>
  </w:style>
  <w:style w:type="character" w:customStyle="1" w:styleId="18">
    <w:name w:val="标题 1 字符"/>
    <w:basedOn w:val="11"/>
    <w:link w:val="2"/>
    <w:uiPriority w:val="9"/>
    <w:rPr>
      <w:rFonts w:asciiTheme="minorHAnsi" w:hAnsiTheme="minorHAnsi" w:eastAsiaTheme="minorEastAsia" w:cstheme="minorBidi"/>
      <w:b/>
      <w:bCs/>
      <w:kern w:val="44"/>
      <w:sz w:val="44"/>
      <w:szCs w:val="44"/>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0">
    <w:name w:val="标题 4 字符"/>
    <w:basedOn w:val="11"/>
    <w:link w:val="4"/>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3837</Words>
  <Characters>4114</Characters>
  <Lines>42</Lines>
  <Paragraphs>12</Paragraphs>
  <TotalTime>0</TotalTime>
  <ScaleCrop>false</ScaleCrop>
  <LinksUpToDate>false</LinksUpToDate>
  <CharactersWithSpaces>4444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2022-10-12T14:13:00Z</dcterms:created>
  <dc:creator>吴 卓霖</dc:creator>
  <cp:lastModifiedBy>不愿透露姓名的司小旭先生</cp:lastModifiedBy>
  <dcterms:modified xsi:type="dcterms:W3CDTF">2022-10-23T03:25:42Z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50095D1C710C4C36A1A2CBECB353C5B7</vt:lpwstr>
  </property>
</Properties>
</file>