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Кирьянова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работы с менеджером паролей pass и конфигурацией chezmoi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менеджер паролей pass</w:t>
      </w:r>
    </w:p>
    <w:p>
      <w:pPr>
        <w:pStyle w:val="Compact"/>
        <w:numPr>
          <w:ilvl w:val="0"/>
          <w:numId w:val="1001"/>
        </w:numPr>
      </w:pPr>
      <w:r>
        <w:t xml:space="preserve">Установить и подключить конфигурацию chezmoi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</w:t>
      </w:r>
    </w:p>
    <w:p>
      <w:pPr>
        <w:pStyle w:val="BodyText"/>
      </w:pPr>
      <w:r>
        <w:t xml:space="preserve">Менеджер паролей pass — программа, сделанная в рамках идеологии Unix.</w:t>
      </w:r>
      <w:r>
        <w:t xml:space="preserve"> </w:t>
      </w:r>
      <w:r>
        <w:t xml:space="preserve">Также носит название стандартного менеджера паролей для Unix (The standard Unix password manager).</w:t>
      </w:r>
    </w:p>
    <w:p>
      <w:pPr>
        <w:pStyle w:val="BodyText"/>
      </w:pPr>
      <w:r>
        <w:t xml:space="preserve">Основные свойства</w:t>
      </w:r>
    </w:p>
    <w:p>
      <w:pPr>
        <w:pStyle w:val="BodyText"/>
      </w:pP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</w:p>
    <w:p>
      <w:pPr>
        <w:pStyle w:val="BodyText"/>
      </w:pPr>
      <w:r>
        <w:t xml:space="preserve">Структура базы паролей</w:t>
      </w:r>
    </w:p>
    <w:p>
      <w:pPr>
        <w:pStyle w:val="BodyText"/>
      </w:pP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pass (рис. 1).</w:t>
      </w:r>
    </w:p>
    <w:p>
      <w:pPr>
        <w:pStyle w:val="CaptionedFigure"/>
      </w:pPr>
      <w:r>
        <w:drawing>
          <wp:inline>
            <wp:extent cx="3733800" cy="643169"/>
            <wp:effectExtent b="0" l="0" r="0" t="0"/>
            <wp:docPr descr="Рис. 1: Установ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p>
      <w:pPr>
        <w:pStyle w:val="BodyText"/>
      </w:pPr>
      <w:r>
        <w:t xml:space="preserve">Устанавливаю gopass (рис. 2).</w:t>
      </w:r>
    </w:p>
    <w:p>
      <w:pPr>
        <w:pStyle w:val="CaptionedFigure"/>
      </w:pPr>
      <w:r>
        <w:drawing>
          <wp:inline>
            <wp:extent cx="3733800" cy="1185695"/>
            <wp:effectExtent b="0" l="0" r="0" t="0"/>
            <wp:docPr descr="Рис. 2: Установк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</w:t>
      </w:r>
    </w:p>
    <w:p>
      <w:pPr>
        <w:pStyle w:val="BodyText"/>
      </w:pPr>
      <w:r>
        <w:t xml:space="preserve">Просматриваю список ключей (рис. 3).</w:t>
      </w:r>
    </w:p>
    <w:p>
      <w:pPr>
        <w:pStyle w:val="CaptionedFigure"/>
      </w:pPr>
      <w:r>
        <w:drawing>
          <wp:inline>
            <wp:extent cx="3733800" cy="962849"/>
            <wp:effectExtent b="0" l="0" r="0" t="0"/>
            <wp:docPr descr="Рис. 3: Список ключей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p>
      <w:pPr>
        <w:pStyle w:val="BodyText"/>
      </w:pPr>
      <w:r>
        <w:t xml:space="preserve">Инициализирую хранилище (рис. 4).</w:t>
      </w:r>
    </w:p>
    <w:p>
      <w:pPr>
        <w:pStyle w:val="CaptionedFigure"/>
      </w:pPr>
      <w:r>
        <w:drawing>
          <wp:inline>
            <wp:extent cx="3733800" cy="359019"/>
            <wp:effectExtent b="0" l="0" r="0" t="0"/>
            <wp:docPr descr="Рис. 4: Инициализац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</w:t>
      </w:r>
    </w:p>
    <w:p>
      <w:pPr>
        <w:pStyle w:val="BodyText"/>
      </w:pPr>
      <w:r>
        <w:t xml:space="preserve">Устанавливаю плагин browserpass (рис. 5).</w:t>
      </w:r>
    </w:p>
    <w:p>
      <w:pPr>
        <w:pStyle w:val="CaptionedFigure"/>
      </w:pPr>
      <w:r>
        <w:drawing>
          <wp:inline>
            <wp:extent cx="3733800" cy="760718"/>
            <wp:effectExtent b="0" l="0" r="0" t="0"/>
            <wp:docPr descr="Рис. 5: Установк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</w:t>
      </w:r>
    </w:p>
    <w:p>
      <w:pPr>
        <w:pStyle w:val="BodyText"/>
      </w:pPr>
      <w:r>
        <w:t xml:space="preserve">Устанавливаю на Fedora (рис. 6).</w:t>
      </w:r>
    </w:p>
    <w:p>
      <w:pPr>
        <w:pStyle w:val="CaptionedFigure"/>
      </w:pPr>
      <w:r>
        <w:drawing>
          <wp:inline>
            <wp:extent cx="3733800" cy="471536"/>
            <wp:effectExtent b="0" l="0" r="0" t="0"/>
            <wp:docPr descr="Рис. 6: Установк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</w:t>
      </w:r>
    </w:p>
    <w:p>
      <w:pPr>
        <w:pStyle w:val="BodyText"/>
      </w:pPr>
      <w:r>
        <w:t xml:space="preserve">Завершаю установку (рис. 7).</w:t>
      </w:r>
    </w:p>
    <w:p>
      <w:pPr>
        <w:pStyle w:val="CaptionedFigure"/>
      </w:pPr>
      <w:r>
        <w:drawing>
          <wp:inline>
            <wp:extent cx="3733800" cy="320040"/>
            <wp:effectExtent b="0" l="0" r="0" t="0"/>
            <wp:docPr descr="Рис. 7: Установк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</w:t>
      </w:r>
    </w:p>
    <w:p>
      <w:pPr>
        <w:pStyle w:val="BodyText"/>
      </w:pPr>
      <w:r>
        <w:t xml:space="preserve">Добавляю новый пароль (рис. 8).</w:t>
      </w:r>
    </w:p>
    <w:p>
      <w:pPr>
        <w:pStyle w:val="CaptionedFigure"/>
      </w:pPr>
      <w:r>
        <w:drawing>
          <wp:inline>
            <wp:extent cx="3733800" cy="831916"/>
            <wp:effectExtent b="0" l="0" r="0" t="0"/>
            <wp:docPr descr="Рис. 8: Пароль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Пароль</w:t>
      </w:r>
    </w:p>
    <w:p>
      <w:pPr>
        <w:pStyle w:val="BodyText"/>
      </w:pPr>
      <w:r>
        <w:t xml:space="preserve">Отображаю пароль (рис. 9).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9: Отображение</w:t>
            </w:r>
          </w:p>
        </w:tc>
      </w:tr>
    </w:tbl>
    <w:p>
      <w:pPr>
        <w:pStyle w:val="ImageCaption"/>
      </w:pPr>
      <w:r>
        <w:t xml:space="preserve">Рис. 9: Отображение</w:t>
      </w:r>
    </w:p>
    <w:p>
      <w:pPr>
        <w:pStyle w:val="BodyText"/>
      </w:pPr>
      <w:r>
        <w:t xml:space="preserve">Устанавливаю дополнительное программное обеспечение (рис. 10).</w:t>
      </w:r>
    </w:p>
    <w:p>
      <w:pPr>
        <w:pStyle w:val="CaptionedFigure"/>
      </w:pPr>
      <w:r>
        <w:drawing>
          <wp:inline>
            <wp:extent cx="3733800" cy="1885025"/>
            <wp:effectExtent b="0" l="0" r="0" t="0"/>
            <wp:docPr descr="Рис. 10: Установка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</w:t>
      </w:r>
    </w:p>
    <w:p>
      <w:pPr>
        <w:pStyle w:val="BodyText"/>
      </w:pPr>
      <w:r>
        <w:t xml:space="preserve">Устанавливаю шрифты(рис. 11).</w:t>
      </w:r>
    </w:p>
    <w:p>
      <w:pPr>
        <w:pStyle w:val="CaptionedFigure"/>
      </w:pPr>
      <w:r>
        <w:drawing>
          <wp:inline>
            <wp:extent cx="3733800" cy="357903"/>
            <wp:effectExtent b="0" l="0" r="0" t="0"/>
            <wp:docPr descr="Рис. 11: Шрифт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Шрифт</w:t>
      </w:r>
    </w:p>
    <w:p>
      <w:pPr>
        <w:pStyle w:val="BodyText"/>
      </w:pPr>
      <w:r>
        <w:t xml:space="preserve">Устанавливаю шрифты (рис. 12).</w:t>
      </w:r>
    </w:p>
    <w:p>
      <w:pPr>
        <w:pStyle w:val="CaptionedFigure"/>
      </w:pPr>
      <w:r>
        <w:drawing>
          <wp:inline>
            <wp:extent cx="3733800" cy="309137"/>
            <wp:effectExtent b="0" l="0" r="0" t="0"/>
            <wp:docPr descr="Рис. 12: Шрифт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Шрифт</w:t>
      </w:r>
    </w:p>
    <w:p>
      <w:pPr>
        <w:pStyle w:val="BodyText"/>
      </w:pPr>
      <w:r>
        <w:t xml:space="preserve">Устанавливаю шрифты (рис. 13).</w:t>
      </w:r>
    </w:p>
    <w:p>
      <w:pPr>
        <w:pStyle w:val="CaptionedFigure"/>
      </w:pPr>
      <w:r>
        <w:drawing>
          <wp:inline>
            <wp:extent cx="3733800" cy="1099879"/>
            <wp:effectExtent b="0" l="0" r="0" t="0"/>
            <wp:docPr descr="Рис. 13: Шрифт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Шрифт</w:t>
      </w:r>
    </w:p>
    <w:p>
      <w:pPr>
        <w:pStyle w:val="BodyText"/>
      </w:pPr>
      <w:r>
        <w:t xml:space="preserve">Устанавливаю бинарный файл (рис. 14).</w:t>
      </w:r>
    </w:p>
    <w:p>
      <w:pPr>
        <w:pStyle w:val="CaptionedFigure"/>
      </w:pPr>
      <w:r>
        <w:drawing>
          <wp:inline>
            <wp:extent cx="3733800" cy="496968"/>
            <wp:effectExtent b="0" l="0" r="0" t="0"/>
            <wp:docPr descr="Рис. 14: Бинарный файл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Бинарный файл</w:t>
      </w:r>
    </w:p>
    <w:p>
      <w:pPr>
        <w:pStyle w:val="BodyText"/>
      </w:pPr>
      <w:r>
        <w:t xml:space="preserve">Создаю свой репозиторий для конфигурационных файлов (рис. 15).</w:t>
      </w:r>
    </w:p>
    <w:p>
      <w:pPr>
        <w:pStyle w:val="CaptionedFigure"/>
      </w:pPr>
      <w:r>
        <w:drawing>
          <wp:inline>
            <wp:extent cx="3733800" cy="367576"/>
            <wp:effectExtent b="0" l="0" r="0" t="0"/>
            <wp:docPr descr="Рис. 15: Репозиторий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Репозиторий</w:t>
      </w:r>
    </w:p>
    <w:p>
      <w:pPr>
        <w:pStyle w:val="BodyText"/>
      </w:pPr>
      <w:r>
        <w:t xml:space="preserve">Инициализирую chezmoi со своим репозиторием (рис. 16).</w:t>
      </w:r>
    </w:p>
    <w:p>
      <w:pPr>
        <w:pStyle w:val="CaptionedFigure"/>
      </w:pPr>
      <w:r>
        <w:drawing>
          <wp:inline>
            <wp:extent cx="3733800" cy="710941"/>
            <wp:effectExtent b="0" l="0" r="0" t="0"/>
            <wp:docPr descr="Рис. 16: Инициализация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Инициализация</w:t>
      </w:r>
    </w:p>
    <w:p>
      <w:pPr>
        <w:pStyle w:val="BodyText"/>
      </w:pPr>
      <w:r>
        <w:t xml:space="preserve">Проверяю какие изменения вносит chezmoi (рис. 17).</w:t>
      </w:r>
    </w:p>
    <w:p>
      <w:pPr>
        <w:pStyle w:val="CaptionedFigure"/>
      </w:pPr>
      <w:r>
        <w:drawing>
          <wp:inline>
            <wp:extent cx="3733800" cy="1443886"/>
            <wp:effectExtent b="0" l="0" r="0" t="0"/>
            <wp:docPr descr="Рис. 17: Проверка" title="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</w:t>
      </w:r>
    </w:p>
    <w:p>
      <w:pPr>
        <w:pStyle w:val="BodyText"/>
      </w:pPr>
      <w:r>
        <w:t xml:space="preserve">Получаю последние изменения (рис. 10).</w:t>
      </w:r>
    </w:p>
    <w:p>
      <w:pPr>
        <w:pStyle w:val="CaptionedFigure"/>
      </w:pPr>
      <w:r>
        <w:drawing>
          <wp:inline>
            <wp:extent cx="3733800" cy="320040"/>
            <wp:effectExtent b="0" l="0" r="0" t="0"/>
            <wp:docPr descr="Рис. 18: Изменения" title="" id="72" name="Picture"/>
            <a:graphic>
              <a:graphicData uri="http://schemas.openxmlformats.org/drawingml/2006/picture">
                <pic:pic>
                  <pic:nvPicPr>
                    <pic:cNvPr descr="image/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Изменения</w:t>
      </w:r>
    </w:p>
    <w:p>
      <w:pPr>
        <w:pStyle w:val="BodyText"/>
      </w:pPr>
      <w:r>
        <w:t xml:space="preserve">Устанавливаю свои dotfiles на компьютер с помощью одной команды (рис. 19).</w:t>
      </w:r>
    </w:p>
    <w:p>
      <w:pPr>
        <w:pStyle w:val="CaptionedFigure"/>
      </w:pPr>
      <w:r>
        <w:drawing>
          <wp:inline>
            <wp:extent cx="3733800" cy="132473"/>
            <wp:effectExtent b="0" l="0" r="0" t="0"/>
            <wp:docPr descr="Рис. 19: Dotfiles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Dotfiles</w:t>
      </w:r>
    </w:p>
    <w:p>
      <w:pPr>
        <w:pStyle w:val="BodyText"/>
      </w:pPr>
      <w:r>
        <w:t xml:space="preserve">Извлекаю изменения (рис. 20).</w:t>
      </w:r>
    </w:p>
    <w:p>
      <w:pPr>
        <w:pStyle w:val="CaptionedFigure"/>
      </w:pPr>
      <w:r>
        <w:drawing>
          <wp:inline>
            <wp:extent cx="3733800" cy="309116"/>
            <wp:effectExtent b="0" l="0" r="0" t="0"/>
            <wp:docPr descr="Рис. 20: Изменения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Изменения</w:t>
      </w:r>
    </w:p>
    <w:p>
      <w:pPr>
        <w:pStyle w:val="BodyText"/>
      </w:pPr>
      <w:r>
        <w:t xml:space="preserve">Выполняю команду (рис. 21).</w:t>
      </w:r>
    </w:p>
    <w:p>
      <w:pPr>
        <w:pStyle w:val="CaptionedFigure"/>
      </w:pPr>
      <w:r>
        <w:drawing>
          <wp:inline>
            <wp:extent cx="3733800" cy="206287"/>
            <wp:effectExtent b="0" l="0" r="0" t="0"/>
            <wp:docPr descr="Рис. 21: Команда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</w:t>
      </w:r>
    </w:p>
    <w:p>
      <w:pPr>
        <w:pStyle w:val="BodyText"/>
      </w:pPr>
      <w:r>
        <w:t xml:space="preserve">Функция автоматического фиксирования и отправки изменений в исходный каталог включена по умолчанию (рис. 22).</w:t>
      </w:r>
    </w:p>
    <w:p>
      <w:pPr>
        <w:pStyle w:val="CaptionedFigure"/>
      </w:pPr>
      <w:r>
        <w:drawing>
          <wp:inline>
            <wp:extent cx="3733800" cy="789432"/>
            <wp:effectExtent b="0" l="0" r="0" t="0"/>
            <wp:docPr descr="Рис. 22: Функция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Функция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получила навыки работы с менеджером паролей pass и конфигурацией chezmoi</w:t>
      </w:r>
    </w:p>
    <w:bookmarkEnd w:id="87"/>
    <w:bookmarkStart w:id="8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</w:t>
      </w:r>
      <w:hyperlink r:id="rId88">
        <w:r>
          <w:rPr>
            <w:rStyle w:val="Hyperlink"/>
          </w:rPr>
          <w:t xml:space="preserve">Операционные системы</w:t>
        </w:r>
      </w:hyperlink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88" Target="https://esystem.rudn.ru/mod/page/view.php?id=1224236#orgb439dd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8" Target="https://esystem.rudn.ru/mod/page/view.php?id=1224236#orgb439dd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Кирьянова Екатерина Андреевна</dc:creator>
  <dc:language>ru-RU</dc:language>
  <cp:keywords/>
  <dcterms:created xsi:type="dcterms:W3CDTF">2025-03-15T15:40:37Z</dcterms:created>
  <dcterms:modified xsi:type="dcterms:W3CDTF">2025-03-15T15:40:37Z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