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32.png" ContentType="image/png"/>
  <Override PartName="/word/media/rId144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Кирьянова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примеры</w:t>
      </w:r>
    </w:p>
    <w:p>
      <w:pPr>
        <w:pStyle w:val="Compact"/>
        <w:numPr>
          <w:ilvl w:val="0"/>
          <w:numId w:val="1001"/>
        </w:numPr>
      </w:pPr>
      <w:r>
        <w:t xml:space="preserve">Работа с файлами</w:t>
      </w:r>
    </w:p>
    <w:p>
      <w:pPr>
        <w:pStyle w:val="Compact"/>
        <w:numPr>
          <w:ilvl w:val="0"/>
          <w:numId w:val="1001"/>
        </w:numPr>
      </w:pPr>
      <w:r>
        <w:t xml:space="preserve">Изменение прав доступа</w:t>
      </w:r>
    </w:p>
    <w:p>
      <w:pPr>
        <w:pStyle w:val="Compact"/>
        <w:numPr>
          <w:ilvl w:val="0"/>
          <w:numId w:val="1001"/>
        </w:numPr>
      </w:pPr>
      <w:r>
        <w:t xml:space="preserve">Работа с файлами и правами доступа</w:t>
      </w:r>
    </w:p>
    <w:p>
      <w:pPr>
        <w:pStyle w:val="Compact"/>
        <w:numPr>
          <w:ilvl w:val="0"/>
          <w:numId w:val="1001"/>
        </w:numPr>
      </w:pPr>
      <w:r>
        <w:t xml:space="preserve">Изучение команд с помощью man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Команда cp используется для копирования файлов и каталогов.</w:t>
      </w:r>
      <w:r>
        <w:t xml:space="preserve"> </w:t>
      </w:r>
      <w:r>
        <w:t xml:space="preserve">Команды mv и mvdir предназначены для перемещения и переименования файлов</w:t>
      </w:r>
      <w:r>
        <w:t xml:space="preserve"> </w:t>
      </w:r>
      <w:r>
        <w:t xml:space="preserve">и каталогов.</w:t>
      </w:r>
      <w:r>
        <w:t xml:space="preserve"> </w:t>
      </w:r>
      <w:r>
        <w:t xml:space="preserve">Каждый файл или каталог имеет права доступа (табл. 5.1).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разре-</w:t>
      </w:r>
      <w:r>
        <w:t xml:space="preserve"> </w:t>
      </w:r>
      <w:r>
        <w:t xml:space="preserve">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  <w:r>
        <w:t xml:space="preserve"> </w:t>
      </w: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  <w:r>
        <w:t xml:space="preserve"> </w:t>
      </w:r>
      <w:r>
        <w:t xml:space="preserve">Файловая система в Linux состоит из фалов и каталогов. Каждому физическому носи-</w:t>
      </w:r>
      <w:r>
        <w:t xml:space="preserve"> </w:t>
      </w:r>
      <w:r>
        <w:t xml:space="preserve">телю соответствует своя файловая система.</w:t>
      </w:r>
      <w:r>
        <w:t xml:space="preserve"> </w:t>
      </w:r>
      <w:r>
        <w:t xml:space="preserve">Существует несколько типов файловых систем. Перечислим наиболее часто встречаю-</w:t>
      </w:r>
      <w:r>
        <w:t xml:space="preserve"> </w:t>
      </w:r>
      <w:r>
        <w:t xml:space="preserve">щиеся типы:</w:t>
      </w:r>
      <w:r>
        <w:t xml:space="preserve"> </w:t>
      </w:r>
      <w:r>
        <w:t xml:space="preserve">– ext2fs (second extended filesystem);</w:t>
      </w:r>
      <w:r>
        <w:t xml:space="preserve"> </w:t>
      </w:r>
      <w:r>
        <w:t xml:space="preserve">– ext2fs (third extended file system);</w:t>
      </w:r>
      <w:r>
        <w:t xml:space="preserve"> </w:t>
      </w:r>
      <w:r>
        <w:t xml:space="preserve">– ext4 (fourth extended file system);</w:t>
      </w:r>
      <w:r>
        <w:t xml:space="preserve"> </w:t>
      </w:r>
      <w:r>
        <w:t xml:space="preserve">– ReiserFS;</w:t>
      </w:r>
      <w:r>
        <w:t xml:space="preserve"> </w:t>
      </w:r>
      <w:r>
        <w:t xml:space="preserve">– xfs;</w:t>
      </w:r>
      <w:r>
        <w:t xml:space="preserve"> </w:t>
      </w:r>
      <w:r>
        <w:t xml:space="preserve">– fat (file allocation table);</w:t>
      </w:r>
      <w:r>
        <w:t xml:space="preserve"> </w:t>
      </w:r>
      <w:r>
        <w:t xml:space="preserve">– ntfs (new technology file system).</w:t>
      </w:r>
      <w:r>
        <w:t xml:space="preserve"> </w:t>
      </w:r>
      <w:r>
        <w:t xml:space="preserve">В данном случае указаны имена устройств, названия соответствующих им точек мон-</w:t>
      </w:r>
      <w:r>
        <w:t xml:space="preserve"> </w:t>
      </w:r>
      <w:r>
        <w:t xml:space="preserve">тирования (путь), тип файловой системы и параметрами монтирования.</w:t>
      </w:r>
      <w:r>
        <w:t xml:space="preserve"> </w:t>
      </w:r>
      <w:r>
        <w:t xml:space="preserve">В контексте команды mount устройство — специальный файл устройства, с помощью</w:t>
      </w:r>
      <w:r>
        <w:t xml:space="preserve"> </w:t>
      </w:r>
      <w:r>
        <w:t xml:space="preserve">которого операционная система получает доступ к аппаратному устройству. Файлы</w:t>
      </w:r>
      <w:r>
        <w:t xml:space="preserve"> </w:t>
      </w:r>
      <w:r>
        <w:t xml:space="preserve">устройств обычно располагаются в каталоге /dev, имеют сокращённые имена (например,</w:t>
      </w:r>
      <w:r>
        <w:t xml:space="preserve"> </w:t>
      </w:r>
      <w:r>
        <w:t xml:space="preserve">sdaN, sdbN или hdaN, hdbN, где N — порядковый номер устройства, sd — устройства SCSI,</w:t>
      </w:r>
      <w:r>
        <w:t xml:space="preserve"> </w:t>
      </w:r>
      <w:r>
        <w:t xml:space="preserve">hd — устройства MFM/IDE).</w:t>
      </w:r>
      <w:r>
        <w:t xml:space="preserve"> </w:t>
      </w:r>
      <w:r>
        <w:t xml:space="preserve">Точка монтирования — каталог (путь к каталогу), к которому присоединяются файлы</w:t>
      </w:r>
      <w:r>
        <w:t xml:space="preserve"> </w:t>
      </w:r>
      <w:r>
        <w:t xml:space="preserve">устройств.</w:t>
      </w:r>
      <w:r>
        <w:t xml:space="preserve"> </w:t>
      </w:r>
      <w:r>
        <w:t xml:space="preserve">ля определения объёма свободного пространства на файловой системе можно вос-</w:t>
      </w:r>
      <w:r>
        <w:t xml:space="preserve"> </w:t>
      </w:r>
      <w:r>
        <w:t xml:space="preserve">пользоваться командой df, которая выведет на экран список всех файловых систем</w:t>
      </w:r>
      <w:r>
        <w:t xml:space="preserve"> </w:t>
      </w:r>
      <w:r>
        <w:t xml:space="preserve">в соответствии с именами устройств, с указанием размера и точки монтирования.</w:t>
      </w:r>
    </w:p>
    <w:bookmarkEnd w:id="22"/>
    <w:bookmarkStart w:id="14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5" w:name="Xc1617e18a45d7f037c9434e7273297fe29ee13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примеров из первой части описания лабораторной работы</w:t>
      </w:r>
    </w:p>
    <w:p>
      <w:pPr>
        <w:pStyle w:val="FirstParagraph"/>
      </w:pPr>
      <w:r>
        <w:t xml:space="preserve">Копирую файл в текущем каталоге (рис. 1).</w:t>
      </w:r>
    </w:p>
    <w:p>
      <w:pPr>
        <w:pStyle w:val="CaptionedFigure"/>
      </w:pPr>
      <w:r>
        <w:drawing>
          <wp:inline>
            <wp:extent cx="3733800" cy="584367"/>
            <wp:effectExtent b="0" l="0" r="0" t="0"/>
            <wp:docPr descr="Рис. 1: Пример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1</w:t>
      </w:r>
    </w:p>
    <w:p>
      <w:pPr>
        <w:pStyle w:val="BodyText"/>
      </w:pPr>
      <w:r>
        <w:t xml:space="preserve">Копирую несколько файлов в каталог (рис. 2).</w:t>
      </w:r>
    </w:p>
    <w:p>
      <w:pPr>
        <w:pStyle w:val="CaptionedFigure"/>
      </w:pPr>
      <w:r>
        <w:drawing>
          <wp:inline>
            <wp:extent cx="3733800" cy="274653"/>
            <wp:effectExtent b="0" l="0" r="0" t="0"/>
            <wp:docPr descr="Рис. 2: Пример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 2</w:t>
      </w:r>
    </w:p>
    <w:p>
      <w:pPr>
        <w:pStyle w:val="BodyText"/>
      </w:pPr>
      <w:r>
        <w:t xml:space="preserve">Копирую файлы в произвольном каталоге (рис. 3).</w:t>
      </w:r>
    </w:p>
    <w:p>
      <w:pPr>
        <w:pStyle w:val="CaptionedFigure"/>
      </w:pPr>
      <w:r>
        <w:drawing>
          <wp:inline>
            <wp:extent cx="3733800" cy="397514"/>
            <wp:effectExtent b="0" l="0" r="0" t="0"/>
            <wp:docPr descr="Рис. 3: Пример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 3</w:t>
      </w:r>
    </w:p>
    <w:p>
      <w:pPr>
        <w:pStyle w:val="BodyText"/>
      </w:pPr>
      <w:r>
        <w:t xml:space="preserve">Копирую каталоги в текущем каталоге (рис. 4).</w:t>
      </w:r>
    </w:p>
    <w:p>
      <w:pPr>
        <w:pStyle w:val="CaptionedFigure"/>
      </w:pPr>
      <w:r>
        <w:drawing>
          <wp:inline>
            <wp:extent cx="3733800" cy="264656"/>
            <wp:effectExtent b="0" l="0" r="0" t="0"/>
            <wp:docPr descr="Рис. 4: Пример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4</w:t>
      </w:r>
    </w:p>
    <w:p>
      <w:pPr>
        <w:pStyle w:val="BodyText"/>
      </w:pPr>
      <w:r>
        <w:t xml:space="preserve">Копирую каталогов в произвольном каталоге (рис. 5).</w:t>
      </w:r>
    </w:p>
    <w:p>
      <w:pPr>
        <w:pStyle w:val="CaptionedFigure"/>
      </w:pPr>
      <w:r>
        <w:drawing>
          <wp:inline>
            <wp:extent cx="3733800" cy="153887"/>
            <wp:effectExtent b="0" l="0" r="0" t="0"/>
            <wp:docPr descr="Рис. 5: Пример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 5</w:t>
      </w:r>
    </w:p>
    <w:p>
      <w:pPr>
        <w:pStyle w:val="BodyText"/>
      </w:pPr>
      <w:r>
        <w:t xml:space="preserve">Переименование файлов в текущем каталоге (рис. 6).</w:t>
      </w:r>
    </w:p>
    <w:p>
      <w:pPr>
        <w:pStyle w:val="CaptionedFigure"/>
      </w:pPr>
      <w:r>
        <w:drawing>
          <wp:inline>
            <wp:extent cx="3522846" cy="202130"/>
            <wp:effectExtent b="0" l="0" r="0" t="0"/>
            <wp:docPr descr="Рис. 6: Пример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 6</w:t>
      </w:r>
    </w:p>
    <w:p>
      <w:pPr>
        <w:pStyle w:val="BodyText"/>
      </w:pPr>
      <w:r>
        <w:t xml:space="preserve">Перемещаю файлы в другой каталог (рис. 7).</w:t>
      </w:r>
    </w:p>
    <w:p>
      <w:pPr>
        <w:pStyle w:val="CaptionedFigure"/>
      </w:pPr>
      <w:r>
        <w:drawing>
          <wp:inline>
            <wp:extent cx="3733800" cy="883058"/>
            <wp:effectExtent b="0" l="0" r="0" t="0"/>
            <wp:docPr descr="Рис. 7: Пример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 7</w:t>
      </w:r>
    </w:p>
    <w:p>
      <w:pPr>
        <w:pStyle w:val="BodyText"/>
      </w:pPr>
      <w:r>
        <w:t xml:space="preserve">Переименование каталогов в текущем каталоге (рис. 8).</w:t>
      </w:r>
    </w:p>
    <w:p>
      <w:pPr>
        <w:pStyle w:val="CaptionedFigure"/>
      </w:pPr>
      <w:r>
        <w:drawing>
          <wp:inline>
            <wp:extent cx="3733800" cy="174632"/>
            <wp:effectExtent b="0" l="0" r="0" t="0"/>
            <wp:docPr descr="Рис. 8: Пример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8</w:t>
      </w:r>
    </w:p>
    <w:p>
      <w:pPr>
        <w:pStyle w:val="BodyText"/>
      </w:pPr>
      <w:r>
        <w:t xml:space="preserve">Перемещаю каталог в другой каталог (рис. 9).</w:t>
      </w:r>
    </w:p>
    <w:p>
      <w:pPr>
        <w:pStyle w:val="CaptionedFigure"/>
      </w:pPr>
      <w:r>
        <w:drawing>
          <wp:inline>
            <wp:extent cx="3733800" cy="270565"/>
            <wp:effectExtent b="0" l="0" r="0" t="0"/>
            <wp:docPr descr="Рис. 9: Пример 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 9</w:t>
      </w:r>
    </w:p>
    <w:p>
      <w:pPr>
        <w:pStyle w:val="BodyText"/>
      </w:pPr>
      <w:r>
        <w:t xml:space="preserve">Переименование каталога, не являющегося текущим (рис. 10).</w:t>
      </w:r>
    </w:p>
    <w:p>
      <w:pPr>
        <w:pStyle w:val="CaptionedFigure"/>
      </w:pPr>
      <w:r>
        <w:drawing>
          <wp:inline>
            <wp:extent cx="3733800" cy="127364"/>
            <wp:effectExtent b="0" l="0" r="0" t="0"/>
            <wp:docPr descr="Рис. 10: Пример 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 10</w:t>
      </w:r>
    </w:p>
    <w:p>
      <w:pPr>
        <w:pStyle w:val="BodyText"/>
      </w:pPr>
      <w:r>
        <w:t xml:space="preserve">Создаю файл с правом выполнения для владельца (рис. 11).</w:t>
      </w:r>
    </w:p>
    <w:p>
      <w:pPr>
        <w:pStyle w:val="CaptionedFigure"/>
      </w:pPr>
      <w:r>
        <w:drawing>
          <wp:inline>
            <wp:extent cx="3733800" cy="760718"/>
            <wp:effectExtent b="0" l="0" r="0" t="0"/>
            <wp:docPr descr="Рис. 11: Пример 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 11</w:t>
      </w:r>
    </w:p>
    <w:p>
      <w:pPr>
        <w:pStyle w:val="BodyText"/>
      </w:pPr>
      <w:r>
        <w:t xml:space="preserve">Лишаю владельца права на выполнение (рис. 12).</w:t>
      </w:r>
    </w:p>
    <w:p>
      <w:pPr>
        <w:pStyle w:val="CaptionedFigure"/>
      </w:pPr>
      <w:r>
        <w:drawing>
          <wp:inline>
            <wp:extent cx="3733800" cy="394514"/>
            <wp:effectExtent b="0" l="0" r="0" t="0"/>
            <wp:docPr descr="Рис. 12: Пример 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 12</w:t>
      </w:r>
    </w:p>
    <w:p>
      <w:pPr>
        <w:pStyle w:val="BodyText"/>
      </w:pPr>
      <w:r>
        <w:t xml:space="preserve">Создаю каталог с запретом на чтение для членов группы и всех остальных пользователей (рис. 13).</w:t>
      </w:r>
    </w:p>
    <w:p>
      <w:pPr>
        <w:pStyle w:val="CaptionedFigure"/>
      </w:pPr>
      <w:r>
        <w:drawing>
          <wp:inline>
            <wp:extent cx="3733800" cy="394921"/>
            <wp:effectExtent b="0" l="0" r="0" t="0"/>
            <wp:docPr descr="Рис. 13: Пример 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 13</w:t>
      </w:r>
    </w:p>
    <w:p>
      <w:pPr>
        <w:pStyle w:val="BodyText"/>
      </w:pPr>
      <w:r>
        <w:t xml:space="preserve">Создаю файл с правом записи для членов группы (рис. 14).</w:t>
      </w:r>
    </w:p>
    <w:p>
      <w:pPr>
        <w:pStyle w:val="CaptionedFigure"/>
      </w:pPr>
      <w:r>
        <w:drawing>
          <wp:inline>
            <wp:extent cx="3733800" cy="268212"/>
            <wp:effectExtent b="0" l="0" r="0" t="0"/>
            <wp:docPr descr="Рис. 14: Пример 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 14</w:t>
      </w:r>
    </w:p>
    <w:bookmarkEnd w:id="65"/>
    <w:bookmarkStart w:id="90" w:name="работа-с-файлам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файлами</w:t>
      </w:r>
    </w:p>
    <w:p>
      <w:pPr>
        <w:pStyle w:val="FirstParagraph"/>
      </w:pPr>
      <w:r>
        <w:t xml:space="preserve">Копирую файл в домашний каталог и называю его equipment (рис. 15).</w:t>
      </w:r>
    </w:p>
    <w:p>
      <w:pPr>
        <w:pStyle w:val="CaptionedFigure"/>
      </w:pPr>
      <w:r>
        <w:drawing>
          <wp:inline>
            <wp:extent cx="3733800" cy="124024"/>
            <wp:effectExtent b="0" l="0" r="0" t="0"/>
            <wp:docPr descr="Рис. 15: Копирование файл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p>
      <w:pPr>
        <w:pStyle w:val="BodyText"/>
      </w:pPr>
      <w:r>
        <w:t xml:space="preserve">Создаю директорию (рис. 16).</w:t>
      </w:r>
    </w:p>
    <w:p>
      <w:pPr>
        <w:pStyle w:val="CaptionedFigure"/>
      </w:pPr>
      <w:r>
        <w:drawing>
          <wp:inline>
            <wp:extent cx="3733800" cy="118116"/>
            <wp:effectExtent b="0" l="0" r="0" t="0"/>
            <wp:docPr descr="Рис. 16: Создание директории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директории</w:t>
      </w:r>
    </w:p>
    <w:p>
      <w:pPr>
        <w:pStyle w:val="BodyText"/>
      </w:pPr>
      <w:r>
        <w:t xml:space="preserve">Перемещаю файл equipment в каталог ski.plases (рис. 17).</w:t>
      </w:r>
    </w:p>
    <w:p>
      <w:pPr>
        <w:pStyle w:val="CaptionedFigure"/>
      </w:pPr>
      <w:r>
        <w:drawing>
          <wp:inline>
            <wp:extent cx="3733800" cy="136519"/>
            <wp:effectExtent b="0" l="0" r="0" t="0"/>
            <wp:docPr descr="Рис. 17: Перемещение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Перемещение</w:t>
      </w:r>
    </w:p>
    <w:p>
      <w:pPr>
        <w:pStyle w:val="BodyText"/>
      </w:pPr>
      <w:r>
        <w:t xml:space="preserve">Переименовываю файл (рис. 10).</w:t>
      </w:r>
    </w:p>
    <w:p>
      <w:pPr>
        <w:pStyle w:val="CaptionedFigure"/>
      </w:pPr>
      <w:r>
        <w:drawing>
          <wp:inline>
            <wp:extent cx="3733800" cy="134393"/>
            <wp:effectExtent b="0" l="0" r="0" t="0"/>
            <wp:docPr descr="Рис. 18: Переименование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Переименование</w:t>
      </w:r>
    </w:p>
    <w:p>
      <w:pPr>
        <w:pStyle w:val="BodyText"/>
      </w:pPr>
      <w:r>
        <w:t xml:space="preserve">Создаю в домашнем каталоге файл и копирую его в каталог (рис. 19).</w:t>
      </w:r>
    </w:p>
    <w:p>
      <w:pPr>
        <w:pStyle w:val="CaptionedFigure"/>
      </w:pPr>
      <w:r>
        <w:drawing>
          <wp:inline>
            <wp:extent cx="3733800" cy="236965"/>
            <wp:effectExtent b="0" l="0" r="0" t="0"/>
            <wp:docPr descr="Рис. 19: Создание и копирование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и копирование</w:t>
      </w:r>
    </w:p>
    <w:p>
      <w:pPr>
        <w:pStyle w:val="BodyText"/>
      </w:pPr>
      <w:r>
        <w:t xml:space="preserve">Создаю каталог (рис. 20).</w:t>
      </w:r>
    </w:p>
    <w:p>
      <w:pPr>
        <w:pStyle w:val="CaptionedFigure"/>
      </w:pPr>
      <w:r>
        <w:drawing>
          <wp:inline>
            <wp:extent cx="3733800" cy="142653"/>
            <wp:effectExtent b="0" l="0" r="0" t="0"/>
            <wp:docPr descr="Рис. 20: Создание каталог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</w:t>
      </w:r>
    </w:p>
    <w:p>
      <w:pPr>
        <w:pStyle w:val="BodyText"/>
      </w:pPr>
      <w:r>
        <w:t xml:space="preserve">Перемещаю файлы в каталог (рис. 21).</w:t>
      </w:r>
    </w:p>
    <w:p>
      <w:pPr>
        <w:pStyle w:val="CaptionedFigure"/>
      </w:pPr>
      <w:r>
        <w:drawing>
          <wp:inline>
            <wp:extent cx="3733800" cy="465473"/>
            <wp:effectExtent b="0" l="0" r="0" t="0"/>
            <wp:docPr descr="Рис. 21: Перемещение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</w:t>
      </w:r>
    </w:p>
    <w:p>
      <w:pPr>
        <w:pStyle w:val="BodyText"/>
      </w:pPr>
      <w:r>
        <w:t xml:space="preserve">Создаю, перемещаю каталог и называю его plans (рис. 22).</w:t>
      </w:r>
    </w:p>
    <w:p>
      <w:pPr>
        <w:pStyle w:val="CaptionedFigure"/>
      </w:pPr>
      <w:r>
        <w:drawing>
          <wp:inline>
            <wp:extent cx="3733800" cy="210199"/>
            <wp:effectExtent b="0" l="0" r="0" t="0"/>
            <wp:docPr descr="Рис. 22: Plans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Plans</w:t>
      </w:r>
    </w:p>
    <w:bookmarkEnd w:id="90"/>
    <w:bookmarkStart w:id="103" w:name="изменение-прав-доступ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Владелец имеет полный доступ, группа имеет право на чтение, остальные имеют право на чтение (рис. 23).</w:t>
      </w:r>
    </w:p>
    <w:p>
      <w:pPr>
        <w:pStyle w:val="CaptionedFigure"/>
      </w:pPr>
      <w:r>
        <w:drawing>
          <wp:inline>
            <wp:extent cx="3733800" cy="280035"/>
            <wp:effectExtent b="0" l="0" r="0" t="0"/>
            <wp:docPr descr="Рис. 23: australia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australia</w:t>
      </w:r>
    </w:p>
    <w:p>
      <w:pPr>
        <w:pStyle w:val="BodyText"/>
      </w:pPr>
      <w:r>
        <w:t xml:space="preserve">Владелец имеет полный доступ, группа и остальные имеют право только на выполнение (рис. 24).</w:t>
      </w:r>
    </w:p>
    <w:p>
      <w:pPr>
        <w:pStyle w:val="CaptionedFigure"/>
      </w:pPr>
      <w:r>
        <w:drawing>
          <wp:inline>
            <wp:extent cx="3733800" cy="266236"/>
            <wp:effectExtent b="0" l="0" r="0" t="0"/>
            <wp:docPr descr="Рис. 24: play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play</w:t>
      </w:r>
    </w:p>
    <w:p>
      <w:pPr>
        <w:pStyle w:val="BodyText"/>
      </w:pPr>
      <w:r>
        <w:t xml:space="preserve">Владелец имеет право на чтение и выполнение, группа имеет право на чтение, остальные имеют право на чтение (рис. 25).</w:t>
      </w:r>
    </w:p>
    <w:p>
      <w:pPr>
        <w:pStyle w:val="CaptionedFigure"/>
      </w:pPr>
      <w:r>
        <w:drawing>
          <wp:inline>
            <wp:extent cx="3733800" cy="228599"/>
            <wp:effectExtent b="0" l="0" r="0" t="0"/>
            <wp:docPr descr="Рис. 25: my_os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my_os</w:t>
      </w:r>
    </w:p>
    <w:p>
      <w:pPr>
        <w:pStyle w:val="BodyText"/>
      </w:pPr>
      <w:r>
        <w:t xml:space="preserve">Владелец и группа имеют право на чтение и запись, остальные имеют право на чтение (рис. 26).</w:t>
      </w:r>
    </w:p>
    <w:p>
      <w:pPr>
        <w:pStyle w:val="CaptionedFigure"/>
      </w:pPr>
      <w:r>
        <w:drawing>
          <wp:inline>
            <wp:extent cx="3733800" cy="219985"/>
            <wp:effectExtent b="0" l="0" r="0" t="0"/>
            <wp:docPr descr="Рис. 26: feathers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feathers</w:t>
      </w:r>
    </w:p>
    <w:bookmarkEnd w:id="103"/>
    <w:bookmarkStart w:id="134" w:name="работа-с-файлами-и-правами-доступ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файлами и правами доступа</w:t>
      </w:r>
    </w:p>
    <w:p>
      <w:pPr>
        <w:pStyle w:val="FirstParagraph"/>
      </w:pPr>
      <w:r>
        <w:t xml:space="preserve">Просматриваю содержимое файла с помощью cat (рис. 27).</w:t>
      </w:r>
    </w:p>
    <w:p>
      <w:pPr>
        <w:pStyle w:val="CaptionedFigure"/>
      </w:pPr>
      <w:r>
        <w:drawing>
          <wp:inline>
            <wp:extent cx="3733800" cy="1972881"/>
            <wp:effectExtent b="0" l="0" r="0" t="0"/>
            <wp:docPr descr="Рис. 27: Просмотр" title="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</w:t>
      </w:r>
    </w:p>
    <w:p>
      <w:pPr>
        <w:pStyle w:val="BodyText"/>
      </w:pPr>
      <w:r>
        <w:t xml:space="preserve">Копирую файл (рис. 28).</w:t>
      </w:r>
    </w:p>
    <w:p>
      <w:pPr>
        <w:pStyle w:val="CaptionedFigure"/>
      </w:pPr>
      <w:r>
        <w:drawing>
          <wp:inline>
            <wp:extent cx="3733800" cy="170086"/>
            <wp:effectExtent b="0" l="0" r="0" t="0"/>
            <wp:docPr descr="Рис. 28: Копирование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</w:t>
      </w:r>
    </w:p>
    <w:p>
      <w:pPr>
        <w:pStyle w:val="BodyText"/>
      </w:pPr>
      <w:r>
        <w:t xml:space="preserve">Перемещаю файл (рис. 29).</w:t>
      </w:r>
    </w:p>
    <w:p>
      <w:pPr>
        <w:pStyle w:val="CaptionedFigure"/>
      </w:pPr>
      <w:r>
        <w:drawing>
          <wp:inline>
            <wp:extent cx="3733800" cy="160518"/>
            <wp:effectExtent b="0" l="0" r="0" t="0"/>
            <wp:docPr descr="Рис. 29: Перемещение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Перемещение</w:t>
      </w:r>
    </w:p>
    <w:p>
      <w:pPr>
        <w:pStyle w:val="BodyText"/>
      </w:pPr>
      <w:r>
        <w:t xml:space="preserve">Копирую каталог в каталог (рис. 30).</w:t>
      </w:r>
    </w:p>
    <w:p>
      <w:pPr>
        <w:pStyle w:val="CaptionedFigure"/>
      </w:pPr>
      <w:r>
        <w:drawing>
          <wp:inline>
            <wp:extent cx="3733800" cy="122133"/>
            <wp:effectExtent b="0" l="0" r="0" t="0"/>
            <wp:docPr descr="Рис. 30: Копирование" title="" id="114" name="Picture"/>
            <a:graphic>
              <a:graphicData uri="http://schemas.openxmlformats.org/drawingml/2006/picture">
                <pic:pic>
                  <pic:nvPicPr>
                    <pic:cNvPr descr="image/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Копирование</w:t>
      </w:r>
    </w:p>
    <w:p>
      <w:pPr>
        <w:pStyle w:val="BodyText"/>
      </w:pPr>
      <w:r>
        <w:t xml:space="preserve">Перемещаю каталога в каталог и называю его games (рис. 31).</w:t>
      </w:r>
    </w:p>
    <w:p>
      <w:pPr>
        <w:pStyle w:val="CaptionedFigure"/>
      </w:pPr>
      <w:r>
        <w:drawing>
          <wp:inline>
            <wp:extent cx="3733800" cy="166985"/>
            <wp:effectExtent b="0" l="0" r="0" t="0"/>
            <wp:docPr descr="Рис. 31: Перемещение и название" title="" id="117" name="Picture"/>
            <a:graphic>
              <a:graphicData uri="http://schemas.openxmlformats.org/drawingml/2006/picture">
                <pic:pic>
                  <pic:nvPicPr>
                    <pic:cNvPr descr="image/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Перемещение и название</w:t>
      </w:r>
    </w:p>
    <w:p>
      <w:pPr>
        <w:pStyle w:val="BodyText"/>
      </w:pPr>
      <w:r>
        <w:t xml:space="preserve">Лишаю владельца права на чтение. При попытке просмотреть файл выйдет ошибка. Копирование пройдет успешно, так как для него не требуется право на чтение исходного файла (рис. 32).</w:t>
      </w:r>
    </w:p>
    <w:p>
      <w:pPr>
        <w:pStyle w:val="CaptionedFigure"/>
      </w:pPr>
      <w:r>
        <w:drawing>
          <wp:inline>
            <wp:extent cx="3733800" cy="155280"/>
            <wp:effectExtent b="0" l="0" r="0" t="0"/>
            <wp:docPr descr="Рис. 32: Лишение прав" title="" id="120" name="Picture"/>
            <a:graphic>
              <a:graphicData uri="http://schemas.openxmlformats.org/drawingml/2006/picture">
                <pic:pic>
                  <pic:nvPicPr>
                    <pic:cNvPr descr="image/3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Лишение прав</w:t>
      </w:r>
    </w:p>
    <w:p>
      <w:pPr>
        <w:pStyle w:val="BodyText"/>
      </w:pPr>
      <w:r>
        <w:t xml:space="preserve">Даю владельцу файла право на чтение (рис. 33).</w:t>
      </w:r>
    </w:p>
    <w:p>
      <w:pPr>
        <w:pStyle w:val="CaptionedFigure"/>
      </w:pPr>
      <w:r>
        <w:drawing>
          <wp:inline>
            <wp:extent cx="3733800" cy="157133"/>
            <wp:effectExtent b="0" l="0" r="0" t="0"/>
            <wp:docPr descr="Рис. 33: Право на чтение" title="" id="123" name="Picture"/>
            <a:graphic>
              <a:graphicData uri="http://schemas.openxmlformats.org/drawingml/2006/picture">
                <pic:pic>
                  <pic:nvPicPr>
                    <pic:cNvPr descr="image/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Право на чтение</w:t>
      </w:r>
    </w:p>
    <w:p>
      <w:pPr>
        <w:pStyle w:val="BodyText"/>
      </w:pPr>
      <w:r>
        <w:t xml:space="preserve">Лишаю владельца каталога права на выполнение (рис. 34).</w:t>
      </w:r>
    </w:p>
    <w:p>
      <w:pPr>
        <w:pStyle w:val="CaptionedFigure"/>
      </w:pPr>
      <w:r>
        <w:drawing>
          <wp:inline>
            <wp:extent cx="3733800" cy="167901"/>
            <wp:effectExtent b="0" l="0" r="0" t="0"/>
            <wp:docPr descr="Рис. 34: Лишение прав" title="" id="126" name="Picture"/>
            <a:graphic>
              <a:graphicData uri="http://schemas.openxmlformats.org/drawingml/2006/picture">
                <pic:pic>
                  <pic:nvPicPr>
                    <pic:cNvPr descr="image/3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Лишение прав</w:t>
      </w:r>
    </w:p>
    <w:p>
      <w:pPr>
        <w:pStyle w:val="BodyText"/>
      </w:pPr>
      <w:r>
        <w:t xml:space="preserve">При переходе в каталог выдало ошибку (рис. 35).</w:t>
      </w:r>
    </w:p>
    <w:p>
      <w:pPr>
        <w:pStyle w:val="CaptionedFigure"/>
      </w:pPr>
      <w:r>
        <w:drawing>
          <wp:inline>
            <wp:extent cx="3733800" cy="291703"/>
            <wp:effectExtent b="0" l="0" r="0" t="0"/>
            <wp:docPr descr="Рис. 35: Переход" title="" id="129" name="Picture"/>
            <a:graphic>
              <a:graphicData uri="http://schemas.openxmlformats.org/drawingml/2006/picture">
                <pic:pic>
                  <pic:nvPicPr>
                    <pic:cNvPr descr="image/3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Переход</w:t>
      </w:r>
    </w:p>
    <w:p>
      <w:pPr>
        <w:pStyle w:val="BodyText"/>
      </w:pPr>
      <w:r>
        <w:t xml:space="preserve">Даю владельцу каталога право на выполнение (рис. 36).</w:t>
      </w:r>
    </w:p>
    <w:p>
      <w:pPr>
        <w:pStyle w:val="CaptionedFigure"/>
      </w:pPr>
      <w:r>
        <w:drawing>
          <wp:inline>
            <wp:extent cx="3733800" cy="213095"/>
            <wp:effectExtent b="0" l="0" r="0" t="0"/>
            <wp:docPr descr="Рис. 36: Право на выполнение" title="" id="132" name="Picture"/>
            <a:graphic>
              <a:graphicData uri="http://schemas.openxmlformats.org/drawingml/2006/picture">
                <pic:pic>
                  <pic:nvPicPr>
                    <pic:cNvPr descr="image/3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Право на выполнение</w:t>
      </w:r>
    </w:p>
    <w:bookmarkEnd w:id="134"/>
    <w:bookmarkStart w:id="147" w:name="изучение-команд-с-помощью-man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Изучение команд с помощью man</w:t>
      </w:r>
    </w:p>
    <w:p>
      <w:pPr>
        <w:pStyle w:val="FirstParagraph"/>
      </w:pPr>
      <w:r>
        <w:t xml:space="preserve">Команда mount используется для подключения файловых систем к дереву каталогов. Она позволяет монтировать устройства и разделы, чтобы получить доступ к их содержимому (рис. 37).</w:t>
      </w:r>
    </w:p>
    <w:p>
      <w:pPr>
        <w:pStyle w:val="CaptionedFigure"/>
      </w:pPr>
      <w:r>
        <w:drawing>
          <wp:inline>
            <wp:extent cx="3733800" cy="2052353"/>
            <wp:effectExtent b="0" l="0" r="0" t="0"/>
            <wp:docPr descr="Рис. 37: mount" title="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mount</w:t>
      </w:r>
    </w:p>
    <w:p>
      <w:pPr>
        <w:pStyle w:val="BodyText"/>
      </w:pPr>
      <w:r>
        <w:t xml:space="preserve">Команда fsck проверяет и восстанавливает целостность файловых систем. Она используется для обнаружения и исправления ошибок на файловых системах (рис. 38).</w:t>
      </w:r>
    </w:p>
    <w:p>
      <w:pPr>
        <w:pStyle w:val="CaptionedFigure"/>
      </w:pPr>
      <w:r>
        <w:drawing>
          <wp:inline>
            <wp:extent cx="3733800" cy="2471396"/>
            <wp:effectExtent b="0" l="0" r="0" t="0"/>
            <wp:docPr descr="Рис. 38: fsck" title="" id="139" name="Picture"/>
            <a:graphic>
              <a:graphicData uri="http://schemas.openxmlformats.org/drawingml/2006/picture">
                <pic:pic>
                  <pic:nvPicPr>
                    <pic:cNvPr descr="image/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fsck</w:t>
      </w:r>
    </w:p>
    <w:p>
      <w:pPr>
        <w:pStyle w:val="BodyText"/>
      </w:pPr>
      <w:r>
        <w:t xml:space="preserve">Команда mkfs используется для создания файловой системы на разделе или устройстве. Эта команда форматирует устройство, подготавливая его для хранения данных (рис. 39).</w:t>
      </w:r>
    </w:p>
    <w:p>
      <w:pPr>
        <w:pStyle w:val="CaptionedFigure"/>
      </w:pPr>
      <w:r>
        <w:drawing>
          <wp:inline>
            <wp:extent cx="3733800" cy="2611725"/>
            <wp:effectExtent b="0" l="0" r="0" t="0"/>
            <wp:docPr descr="Рис. 39: mkfs" title="" id="142" name="Picture"/>
            <a:graphic>
              <a:graphicData uri="http://schemas.openxmlformats.org/drawingml/2006/picture">
                <pic:pic>
                  <pic:nvPicPr>
                    <pic:cNvPr descr="image/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mkfs</w:t>
      </w:r>
    </w:p>
    <w:p>
      <w:pPr>
        <w:pStyle w:val="BodyText"/>
      </w:pPr>
      <w:r>
        <w:t xml:space="preserve">Команда kill используется для отправки сигналов процессам. Наиболее часто используется для завершения процессов, но также может использоваться для отправки других сигналов (рис. 40).</w:t>
      </w:r>
    </w:p>
    <w:p>
      <w:pPr>
        <w:pStyle w:val="CaptionedFigure"/>
      </w:pPr>
      <w:r>
        <w:drawing>
          <wp:inline>
            <wp:extent cx="3733800" cy="2738764"/>
            <wp:effectExtent b="0" l="0" r="0" t="0"/>
            <wp:docPr descr="Рис. 40: kill" title="" id="145" name="Picture"/>
            <a:graphic>
              <a:graphicData uri="http://schemas.openxmlformats.org/drawingml/2006/picture">
                <pic:pic>
                  <pic:nvPicPr>
                    <pic:cNvPr descr="image/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kill</w:t>
      </w:r>
    </w:p>
    <w:bookmarkEnd w:id="147"/>
    <w:bookmarkEnd w:id="148"/>
    <w:bookmarkStart w:id="14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oзнакомилась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149"/>
    <w:bookmarkStart w:id="15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150">
        <w:r>
          <w:rPr>
            <w:rStyle w:val="Hyperlink"/>
          </w:rPr>
          <w:t xml:space="preserve">Операционные системы</w:t>
        </w:r>
      </w:hyperlink>
    </w:p>
    <w:bookmarkEnd w:id="1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32" Target="media/rId32.png" /><Relationship Type="http://schemas.openxmlformats.org/officeDocument/2006/relationships/image" Id="rId144" Target="media/rId144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50" Target="https://esystem.rudn.ru/pluginfile.php/2586720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0" Target="https://esystem.rudn.ru/pluginfile.php/2586720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Кирьянова Екатерина Андреевна</dc:creator>
  <dc:language>ru-RU</dc:language>
  <cp:keywords/>
  <dcterms:created xsi:type="dcterms:W3CDTF">2025-03-29T10:05:55Z</dcterms:created>
  <dcterms:modified xsi:type="dcterms:W3CDTF">2025-03-29T10:05:55Z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