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0F172A"/>
          <w:sz w:val="36"/>
        </w:rPr>
        <w:t>BlackAgent 黑灰产情报分析助手阶段验收报告</w:t>
      </w:r>
    </w:p>
    <w:p>
      <w:pPr>
        <w:spacing w:after="100" w:line="276" w:lineRule="auto"/>
      </w:pPr>
      <w:r>
        <w:rPr>
          <w:rFonts w:ascii="Microsoft YaHei" w:hAnsi="Microsoft YaHei" w:eastAsia="Microsoft YaHei"/>
          <w:b w:val="0"/>
          <w:sz w:val="21"/>
        </w:rPr>
        <w:t>项目目录：D:\研一\BlackAgent</w:t>
      </w:r>
    </w:p>
    <w:p>
      <w:pPr>
        <w:spacing w:after="100" w:line="276" w:lineRule="auto"/>
      </w:pPr>
      <w:r>
        <w:rPr>
          <w:rFonts w:ascii="Microsoft YaHei" w:hAnsi="Microsoft YaHei" w:eastAsia="Microsoft YaHei"/>
          <w:b w:val="0"/>
          <w:sz w:val="21"/>
        </w:rPr>
        <w:t>报告日期：2026-06-05</w:t>
      </w:r>
    </w:p>
    <w:p>
      <w:pPr>
        <w:spacing w:after="100" w:line="276" w:lineRule="auto"/>
      </w:pPr>
      <w:r>
        <w:rPr>
          <w:rFonts w:ascii="Microsoft YaHei" w:hAnsi="Microsoft YaHei" w:eastAsia="Microsoft YaHei"/>
          <w:b w:val="0"/>
          <w:sz w:val="21"/>
        </w:rPr>
        <w:t>验收主题：阶段目标、核心挑战、交付证据与后续优化边界</w:t>
      </w:r>
    </w:p>
    <w:p>
      <w:pPr>
        <w:pStyle w:val="Heading1"/>
      </w:pPr>
      <w:r>
        <w:t>1. 验收结论</w:t>
      </w:r>
    </w:p>
    <w:p>
      <w:pPr>
        <w:spacing w:after="100" w:line="276" w:lineRule="auto"/>
      </w:pPr>
      <w:r>
        <w:rPr>
          <w:rFonts w:ascii="Microsoft YaHei" w:hAnsi="Microsoft YaHei" w:eastAsia="Microsoft YaHei"/>
          <w:b w:val="0"/>
          <w:sz w:val="21"/>
        </w:rPr>
        <w:t>BlackAgent 当前已经形成一套本机可运行的黑灰产情报分析助手。它可以把公开或已授权来源中的散乱内容，按“采集 -&gt; 清洗 -&gt; 分类 -&gt; 抽取关键信息 -&gt; 形成线索和报告”的顺序处理，帮助人工从大量帖子、群聊文本和公开页面中更快找到可复核的风险线索。</w:t>
      </w:r>
    </w:p>
    <w:p>
      <w:pPr>
        <w:spacing w:after="100" w:line="276" w:lineRule="auto"/>
      </w:pPr>
      <w:r>
        <w:rPr>
          <w:rFonts w:ascii="Microsoft YaHei" w:hAnsi="Microsoft YaHei" w:eastAsia="Microsoft YaHei"/>
          <w:b w:val="0"/>
          <w:sz w:val="21"/>
        </w:rPr>
        <w:t>建议验收口径为：阶段目标已达成，核心挑战已有工程化解法；同时如实保留人工确认、图片文字抽取、来源结构均衡和线上生产化边界，作为下一阶段优化项。</w:t>
      </w:r>
    </w:p>
    <w:p>
      <w:pPr>
        <w:spacing w:after="100" w:line="276" w:lineRule="auto"/>
      </w:pPr>
      <w:r>
        <w:rPr>
          <w:rFonts w:ascii="Microsoft YaHei" w:hAnsi="Microsoft YaHei" w:eastAsia="Microsoft YaHei"/>
          <w:b w:val="0"/>
          <w:sz w:val="21"/>
        </w:rPr>
        <w:t>需要特别说明：当前项目主形态是命令行、本机运行类和本机演示接口，不是正式对外网页服务，也不会自动封禁、自动拉黑或自动写入正式系统。</w:t>
      </w:r>
    </w:p>
    <w:p>
      <w:pPr>
        <w:pStyle w:val="Heading1"/>
      </w:pPr>
      <w:r>
        <w:t>2. 课题要求摘要</w:t>
      </w:r>
    </w:p>
    <w:p>
      <w:pPr>
        <w:spacing w:after="100" w:line="276" w:lineRule="auto"/>
      </w:pPr>
      <w:r>
        <w:rPr>
          <w:rFonts w:ascii="Microsoft YaHei" w:hAnsi="Microsoft YaHei" w:eastAsia="Microsoft YaHei"/>
          <w:b w:val="0"/>
          <w:sz w:val="21"/>
        </w:rPr>
        <w:t>课题要求建设一条端到端分析流程：</w:t>
      </w:r>
    </w:p>
    <w:p>
      <w:pPr>
        <w:spacing w:after="40"/>
        <w:ind w:left="360" w:hanging="259"/>
      </w:pPr>
      <w:r>
        <w:rPr>
          <w:rFonts w:ascii="Microsoft YaHei" w:hAnsi="Microsoft YaHei" w:eastAsia="Microsoft YaHei"/>
          <w:b w:val="0"/>
          <w:sz w:val="20"/>
        </w:rPr>
        <w:t>1. 从聊天群、群组、论坛、公开页面等来源采集黑灰产相关内容；</w:t>
      </w:r>
    </w:p>
    <w:p>
      <w:pPr>
        <w:spacing w:after="40"/>
        <w:ind w:left="360" w:hanging="259"/>
      </w:pPr>
      <w:r>
        <w:rPr>
          <w:rFonts w:ascii="Microsoft YaHei" w:hAnsi="Microsoft YaHei" w:eastAsia="Microsoft YaHei"/>
          <w:b w:val="0"/>
          <w:sz w:val="20"/>
        </w:rPr>
        <w:t>2. 自动去重、去噪，保留更有价值的风险内容；</w:t>
      </w:r>
    </w:p>
    <w:p>
      <w:pPr>
        <w:spacing w:after="40"/>
        <w:ind w:left="360" w:hanging="259"/>
      </w:pPr>
      <w:r>
        <w:rPr>
          <w:rFonts w:ascii="Microsoft YaHei" w:hAnsi="Microsoft YaHei" w:eastAsia="Microsoft YaHei"/>
          <w:b w:val="0"/>
          <w:sz w:val="20"/>
        </w:rPr>
        <w:t>3. 按诈骗引流、刷单作弊、账号交易、工具交易等风险类型进行分类；</w:t>
      </w:r>
    </w:p>
    <w:p>
      <w:pPr>
        <w:spacing w:after="40"/>
        <w:ind w:left="360" w:hanging="259"/>
      </w:pPr>
      <w:r>
        <w:rPr>
          <w:rFonts w:ascii="Microsoft YaHei" w:hAnsi="Microsoft YaHei" w:eastAsia="Microsoft YaHei"/>
          <w:b w:val="0"/>
          <w:sz w:val="20"/>
        </w:rPr>
        <w:t>4. 抽取黑话、账号、联系方式、链接、工具资产等关键信息；</w:t>
      </w:r>
    </w:p>
    <w:p>
      <w:pPr>
        <w:spacing w:after="40"/>
        <w:ind w:left="360" w:hanging="259"/>
      </w:pPr>
      <w:r>
        <w:rPr>
          <w:rFonts w:ascii="Microsoft YaHei" w:hAnsi="Microsoft YaHei" w:eastAsia="Microsoft YaHei"/>
          <w:b w:val="0"/>
          <w:sz w:val="20"/>
        </w:rPr>
        <w:t>5. 最终形成可供业务人员复核的线索、证据链和对抗建议。</w:t>
      </w:r>
    </w:p>
    <w:p>
      <w:pPr>
        <w:spacing w:after="100" w:line="276" w:lineRule="auto"/>
      </w:pPr>
      <w:r>
        <w:rPr>
          <w:rFonts w:ascii="Microsoft YaHei" w:hAnsi="Microsoft YaHei" w:eastAsia="Microsoft YaHei"/>
          <w:b w:val="0"/>
          <w:sz w:val="21"/>
        </w:rPr>
        <w:t>启动会也明确了几条答辩口径：评判重点不是单纯堆数据量，而是流程是否完整、线索质量是否有用、分类口径是否能解释、采集是否合规、结果是否能复跑。</w:t>
      </w:r>
    </w:p>
    <w:p>
      <w:pPr>
        <w:pStyle w:val="Heading1"/>
      </w:pPr>
      <w:r>
        <w:t>3. 分阶段目标验收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c>
          <w:tcPr>
            <w:tcW w:type="dxa" w:w="2033"/>
            <w:vAlign w:val="center"/>
            <w:shd w:fill="1F4E7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阶段</w:t>
            </w:r>
          </w:p>
        </w:tc>
        <w:tc>
          <w:tcPr>
            <w:tcW w:type="dxa" w:w="2033"/>
            <w:vAlign w:val="center"/>
            <w:shd w:fill="1F4E7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课题目标</w:t>
            </w:r>
          </w:p>
        </w:tc>
        <w:tc>
          <w:tcPr>
            <w:tcW w:type="dxa" w:w="2033"/>
            <w:vAlign w:val="center"/>
            <w:shd w:fill="1F4E7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当前实现</w:t>
            </w:r>
          </w:p>
        </w:tc>
        <w:tc>
          <w:tcPr>
            <w:tcW w:type="dxa" w:w="2033"/>
            <w:vAlign w:val="center"/>
            <w:shd w:fill="1F4E7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验收证据</w:t>
            </w:r>
          </w:p>
        </w:tc>
        <w:tc>
          <w:tcPr>
            <w:tcW w:type="dxa" w:w="2033"/>
            <w:vAlign w:val="center"/>
            <w:shd w:fill="1F4E7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结论</w:t>
            </w:r>
          </w:p>
        </w:tc>
      </w:tr>
      <w:tr>
        <w:tc>
          <w:tcPr>
            <w:tcW w:type="dxa" w:w="203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数据采集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覆盖聊天、群组、论坛等不少于 3 类情报来源，产出原始数据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已有情报来源清单、授权采集器、公开页面采集脚本，并支持导出原始记录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data/collection_phase_delivery_manifest.json：原始记录 4163 条；来源覆盖聊天/群组、社媒/论坛、垂直/技术站；data/source_external_smoke_report.json 显示三类来源小规模联网试跑均达到不少于 3 条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达成</w:t>
            </w:r>
          </w:p>
        </w:tc>
      </w:tr>
      <w:tr>
        <w:tc>
          <w:tcPr>
            <w:tcW w:type="dxa" w:w="2033"/>
            <w:vAlign w:val="center"/>
            <w:shd w:fill="F3F6F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智能清洗</w:t>
            </w:r>
          </w:p>
        </w:tc>
        <w:tc>
          <w:tcPr>
            <w:tcW w:type="dxa" w:w="2033"/>
            <w:vAlign w:val="center"/>
            <w:shd w:fill="F3F6F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自动去重、过滤噪声、识别高风险内容</w:t>
            </w:r>
          </w:p>
        </w:tc>
        <w:tc>
          <w:tcPr>
            <w:tcW w:type="dxa" w:w="2033"/>
            <w:vAlign w:val="center"/>
            <w:shd w:fill="F3F6F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清洗模块会删除重复内容、泛化教程噪声和反诈/研究类噪声，并保留风险分数</w:t>
            </w:r>
          </w:p>
        </w:tc>
        <w:tc>
          <w:tcPr>
            <w:tcW w:type="dxa" w:w="2033"/>
            <w:vAlign w:val="center"/>
            <w:shd w:fill="F3F6F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data/cleaning_phase_summary.json：输入 4163 条，清洗后 3464 条，过滤 699 条，其中重复 650 条，高风险 1095 条</w:t>
            </w:r>
          </w:p>
        </w:tc>
        <w:tc>
          <w:tcPr>
            <w:tcW w:type="dxa" w:w="2033"/>
            <w:vAlign w:val="center"/>
            <w:shd w:fill="F3F6F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达成</w:t>
            </w:r>
          </w:p>
        </w:tc>
      </w:tr>
      <w:tr>
        <w:tc>
          <w:tcPr>
            <w:tcW w:type="dxa" w:w="203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意图分类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按诈骗、引流、作弊、工具交易等风险类型分类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规则优先，必要时再调用大模型；分类结果保留冲突和待复核信息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data/classification_extraction_phase_summary.json：完成 3464 条分类；高风险视图 1061 条；主评测一级分类综合准确率 1.000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达成，待复核负载仍需治理</w:t>
            </w:r>
          </w:p>
        </w:tc>
      </w:tr>
      <w:tr>
        <w:tc>
          <w:tcPr>
            <w:tcW w:type="dxa" w:w="2033"/>
            <w:vAlign w:val="center"/>
            <w:shd w:fill="F3F6F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实体抽取</w:t>
            </w:r>
          </w:p>
        </w:tc>
        <w:tc>
          <w:tcPr>
            <w:tcW w:type="dxa" w:w="2033"/>
            <w:vAlign w:val="center"/>
            <w:shd w:fill="F3F6F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抽取黑话、链接、账号、联系方式、工具资产等关键信息</w:t>
            </w:r>
          </w:p>
        </w:tc>
        <w:tc>
          <w:tcPr>
            <w:tcW w:type="dxa" w:w="2033"/>
            <w:vAlign w:val="center"/>
            <w:shd w:fill="F3F6F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抽取后统一格式、脱敏，并进入实体关系库和线索生成链路</w:t>
            </w:r>
          </w:p>
        </w:tc>
        <w:tc>
          <w:tcPr>
            <w:tcW w:type="dxa" w:w="2033"/>
            <w:vAlign w:val="center"/>
            <w:shd w:fill="F3F6F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全量关键信息 21774 个；高风险视图 4698 个；实体关系和线索晋升链路已接入</w:t>
            </w:r>
          </w:p>
        </w:tc>
        <w:tc>
          <w:tcPr>
            <w:tcW w:type="dxa" w:w="2033"/>
            <w:vAlign w:val="center"/>
            <w:shd w:fill="F3F6F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达成，图片文字中的关键信息抽取仍需增强</w:t>
            </w:r>
          </w:p>
        </w:tc>
      </w:tr>
    </w:tbl>
    <w:p>
      <w:pPr>
        <w:pStyle w:val="Heading1"/>
      </w:pPr>
      <w:r>
        <w:t>4. 核心挑战与应对情况</w:t>
      </w:r>
    </w:p>
    <w:p>
      <w:pPr>
        <w:pStyle w:val="Heading2"/>
      </w:pPr>
      <w:r>
        <w:t>4.1 挑战一：来源多、格式乱、重复和噪声多</w:t>
      </w:r>
    </w:p>
    <w:p>
      <w:pPr>
        <w:spacing w:after="100" w:line="276" w:lineRule="auto"/>
      </w:pPr>
      <w:r>
        <w:rPr>
          <w:rFonts w:ascii="Microsoft YaHei" w:hAnsi="Microsoft YaHei" w:eastAsia="Microsoft YaHei"/>
          <w:b w:val="0"/>
          <w:sz w:val="21"/>
        </w:rPr>
        <w:t>黑灰产信息分散在不同平台和不同表达方式里，同一条广告可能重复出现，普通教程、反诈公告、研究文章也容易混进来。当前系统的做法是：</w:t>
      </w:r>
    </w:p>
    <w:p>
      <w:pPr>
        <w:spacing w:after="40"/>
        <w:ind w:left="259" w:hanging="173"/>
      </w:pPr>
      <w:r>
        <w:rPr>
          <w:rFonts w:ascii="Microsoft YaHei" w:hAnsi="Microsoft YaHei" w:eastAsia="Microsoft YaHei"/>
          <w:b w:val="0"/>
          <w:sz w:val="20"/>
        </w:rPr>
        <w:t>•  先用情报来源清单记录来源类型、授权说明和允许访问的域名；</w:t>
      </w:r>
    </w:p>
    <w:p>
      <w:pPr>
        <w:spacing w:after="40"/>
        <w:ind w:left="259" w:hanging="173"/>
      </w:pPr>
      <w:r>
        <w:rPr>
          <w:rFonts w:ascii="Microsoft YaHei" w:hAnsi="Microsoft YaHei" w:eastAsia="Microsoft YaHei"/>
          <w:b w:val="0"/>
          <w:sz w:val="20"/>
        </w:rPr>
        <w:t>•  采集时保留来源、时间、访问方式等信息，后续可以追溯；</w:t>
      </w:r>
    </w:p>
    <w:p>
      <w:pPr>
        <w:spacing w:after="40"/>
        <w:ind w:left="259" w:hanging="173"/>
      </w:pPr>
      <w:r>
        <w:rPr>
          <w:rFonts w:ascii="Microsoft YaHei" w:hAnsi="Microsoft YaHei" w:eastAsia="Microsoft YaHei"/>
          <w:b w:val="0"/>
          <w:sz w:val="20"/>
        </w:rPr>
        <w:t>•  清洗时分开统计“原始记录”和“清洗后输入”，避免把两个口径混在一起；</w:t>
      </w:r>
    </w:p>
    <w:p>
      <w:pPr>
        <w:spacing w:after="40"/>
        <w:ind w:left="259" w:hanging="173"/>
      </w:pPr>
      <w:r>
        <w:rPr>
          <w:rFonts w:ascii="Microsoft YaHei" w:hAnsi="Microsoft YaHei" w:eastAsia="Microsoft YaHei"/>
          <w:b w:val="0"/>
          <w:sz w:val="20"/>
        </w:rPr>
        <w:t>•  按来源尽量均衡抽样，如果某类来源数量不足，报告里直接暴露缺口。</w:t>
      </w:r>
    </w:p>
    <w:p>
      <w:pPr>
        <w:spacing w:after="100" w:line="276" w:lineRule="auto"/>
      </w:pPr>
      <w:r>
        <w:rPr>
          <w:rFonts w:ascii="Microsoft YaHei" w:hAnsi="Microsoft YaHei" w:eastAsia="Microsoft YaHei"/>
          <w:b w:val="0"/>
          <w:sz w:val="21"/>
        </w:rPr>
        <w:t>关键证据：</w:t>
      </w:r>
    </w:p>
    <w:p>
      <w:pPr>
        <w:spacing w:after="40"/>
        <w:ind w:left="259" w:hanging="173"/>
      </w:pPr>
      <w:r>
        <w:rPr>
          <w:rFonts w:ascii="Microsoft YaHei" w:hAnsi="Microsoft YaHei" w:eastAsia="Microsoft YaHei"/>
          <w:b w:val="0"/>
          <w:sz w:val="20"/>
        </w:rPr>
        <w:t>•  当前原始记录 4163 条，清洗后输入 3464 条；</w:t>
      </w:r>
    </w:p>
    <w:p>
      <w:pPr>
        <w:spacing w:after="40"/>
        <w:ind w:left="259" w:hanging="173"/>
      </w:pPr>
      <w:r>
        <w:rPr>
          <w:rFonts w:ascii="Microsoft YaHei" w:hAnsi="Microsoft YaHei" w:eastAsia="Microsoft YaHei"/>
          <w:b w:val="0"/>
          <w:sz w:val="20"/>
        </w:rPr>
        <w:t>•  来源结构为：聊天/群组 3786 条，社媒/论坛 356 条，垂直/技术站 21 条；</w:t>
      </w:r>
    </w:p>
    <w:p>
      <w:pPr>
        <w:spacing w:after="40"/>
        <w:ind w:left="259" w:hanging="173"/>
      </w:pPr>
      <w:r>
        <w:rPr>
          <w:rFonts w:ascii="Microsoft YaHei" w:hAnsi="Microsoft YaHei" w:eastAsia="Microsoft YaHei"/>
          <w:b w:val="0"/>
          <w:sz w:val="20"/>
        </w:rPr>
        <w:t>•  小规模联网试跑结果为：聊天/群组 6 条、社媒/论坛 5 条、垂直/技术站 7 条，三类都达到不少于 3 条的连通性目标；</w:t>
      </w:r>
    </w:p>
    <w:p>
      <w:pPr>
        <w:spacing w:after="40"/>
        <w:ind w:left="259" w:hanging="173"/>
      </w:pPr>
      <w:r>
        <w:rPr>
          <w:rFonts w:ascii="Microsoft YaHei" w:hAnsi="Microsoft YaHei" w:eastAsia="Microsoft YaHei"/>
          <w:b w:val="0"/>
          <w:sz w:val="20"/>
        </w:rPr>
        <w:t>•  清洗阶段过滤 699 条，其中重复内容 650 条、泛化教程噪声 43 条、防御语境噪声 6 条；</w:t>
      </w:r>
    </w:p>
    <w:p>
      <w:pPr>
        <w:spacing w:after="40"/>
        <w:ind w:left="259" w:hanging="173"/>
      </w:pPr>
      <w:r>
        <w:rPr>
          <w:rFonts w:ascii="Microsoft YaHei" w:hAnsi="Microsoft YaHei" w:eastAsia="Microsoft YaHei"/>
          <w:b w:val="0"/>
          <w:sz w:val="20"/>
        </w:rPr>
        <w:t>•  按来源尽量均衡抽样得到 1626 条，同时明确提示社媒/论坛、垂直/技术站数量不足。</w:t>
      </w:r>
    </w:p>
    <w:p>
      <w:pPr>
        <w:spacing w:after="100" w:line="276" w:lineRule="auto"/>
      </w:pPr>
      <w:r>
        <w:rPr>
          <w:rFonts w:ascii="Microsoft YaHei" w:hAnsi="Microsoft YaHei" w:eastAsia="Microsoft YaHei"/>
          <w:b w:val="0"/>
          <w:sz w:val="21"/>
        </w:rPr>
        <w:t>结论：项目已具备合规多源采集和清洗能力；主要边界是当前原始数据仍偏聊天类来源，后续应继续补充论坛、社媒、垂直技术站等授权来源。</w:t>
      </w:r>
    </w:p>
    <w:p>
      <w:pPr>
        <w:pStyle w:val="Heading2"/>
      </w:pPr>
      <w:r>
        <w:t>4.2 挑战二：黑话、谐音、表情和图片文字不容易看懂</w:t>
      </w:r>
    </w:p>
    <w:p>
      <w:pPr>
        <w:spacing w:after="100" w:line="276" w:lineRule="auto"/>
      </w:pPr>
      <w:r>
        <w:rPr>
          <w:rFonts w:ascii="Microsoft YaHei" w:hAnsi="Microsoft YaHei" w:eastAsia="Microsoft YaHei"/>
          <w:b w:val="0"/>
          <w:sz w:val="21"/>
        </w:rPr>
        <w:t>黑灰产文本常故意使用黑话、谐音、缩写、表情符号，甚至把关键信息放进图片里。当前系统的做法是：</w:t>
      </w:r>
    </w:p>
    <w:p>
      <w:pPr>
        <w:spacing w:after="40"/>
        <w:ind w:left="259" w:hanging="173"/>
      </w:pPr>
      <w:r>
        <w:rPr>
          <w:rFonts w:ascii="Microsoft YaHei" w:hAnsi="Microsoft YaHei" w:eastAsia="Microsoft YaHei"/>
          <w:b w:val="0"/>
          <w:sz w:val="20"/>
        </w:rPr>
        <w:t>•  用规则词库识别常见黑话和变体写法；</w:t>
      </w:r>
    </w:p>
    <w:p>
      <w:pPr>
        <w:spacing w:after="40"/>
        <w:ind w:left="259" w:hanging="173"/>
      </w:pPr>
      <w:r>
        <w:rPr>
          <w:rFonts w:ascii="Microsoft YaHei" w:hAnsi="Microsoft YaHei" w:eastAsia="Microsoft YaHei"/>
          <w:b w:val="0"/>
          <w:sz w:val="20"/>
        </w:rPr>
        <w:t>•  判断上下文，区分黑产内容、反诈公告、研究分析和否定语境；</w:t>
      </w:r>
    </w:p>
    <w:p>
      <w:pPr>
        <w:spacing w:after="40"/>
        <w:ind w:left="259" w:hanging="173"/>
      </w:pPr>
      <w:r>
        <w:rPr>
          <w:rFonts w:ascii="Microsoft YaHei" w:hAnsi="Microsoft YaHei" w:eastAsia="Microsoft YaHei"/>
          <w:b w:val="0"/>
          <w:sz w:val="20"/>
        </w:rPr>
        <w:t>•  把链接、账号、联系方式统一格式，并做脱敏或哈希；</w:t>
      </w:r>
    </w:p>
    <w:p>
      <w:pPr>
        <w:spacing w:after="40"/>
        <w:ind w:left="259" w:hanging="173"/>
      </w:pPr>
      <w:r>
        <w:rPr>
          <w:rFonts w:ascii="Microsoft YaHei" w:hAnsi="Microsoft YaHei" w:eastAsia="Microsoft YaHei"/>
          <w:b w:val="0"/>
          <w:sz w:val="20"/>
        </w:rPr>
        <w:t>•  保留图片说明、截图引用、海报文字等字段，让后续图片文字能力可以继续增强；</w:t>
      </w:r>
    </w:p>
    <w:p>
      <w:pPr>
        <w:spacing w:after="40"/>
        <w:ind w:left="259" w:hanging="173"/>
      </w:pPr>
      <w:r>
        <w:rPr>
          <w:rFonts w:ascii="Microsoft YaHei" w:hAnsi="Microsoft YaHei" w:eastAsia="Microsoft YaHei"/>
          <w:b w:val="0"/>
          <w:sz w:val="20"/>
        </w:rPr>
        <w:t>•  对不确定或冲突结果打上人工复核标记。</w:t>
      </w:r>
    </w:p>
    <w:p>
      <w:pPr>
        <w:spacing w:after="100" w:line="276" w:lineRule="auto"/>
      </w:pPr>
      <w:r>
        <w:rPr>
          <w:rFonts w:ascii="Microsoft YaHei" w:hAnsi="Microsoft YaHei" w:eastAsia="Microsoft YaHei"/>
          <w:b w:val="0"/>
          <w:sz w:val="21"/>
        </w:rPr>
        <w:t>关键证据：</w:t>
      </w:r>
    </w:p>
    <w:p>
      <w:pPr>
        <w:spacing w:after="40"/>
        <w:ind w:left="259" w:hanging="173"/>
      </w:pPr>
      <w:r>
        <w:rPr>
          <w:rFonts w:ascii="Microsoft YaHei" w:hAnsi="Microsoft YaHei" w:eastAsia="Microsoft YaHei"/>
          <w:b w:val="0"/>
          <w:sz w:val="20"/>
        </w:rPr>
        <w:t>•  data/collection_phase_delivery_manifest.json 记录：谐音/变体识别 208 条，表情符号信号 186 条，图片相关文字 29 条；</w:t>
      </w:r>
    </w:p>
    <w:p>
      <w:pPr>
        <w:spacing w:after="40"/>
        <w:ind w:left="259" w:hanging="173"/>
      </w:pPr>
      <w:r>
        <w:rPr>
          <w:rFonts w:ascii="Microsoft YaHei" w:hAnsi="Microsoft YaHei" w:eastAsia="Microsoft YaHei"/>
          <w:b w:val="0"/>
          <w:sz w:val="20"/>
        </w:rPr>
        <w:t>•  src/enhancement/source_intake.py 已支持图片链接、说明文字、海报字段、截图引用等进入处理流程；</w:t>
      </w:r>
    </w:p>
    <w:p>
      <w:pPr>
        <w:spacing w:after="40"/>
        <w:ind w:left="259" w:hanging="173"/>
      </w:pPr>
      <w:r>
        <w:rPr>
          <w:rFonts w:ascii="Microsoft YaHei" w:hAnsi="Microsoft YaHei" w:eastAsia="Microsoft YaHei"/>
          <w:b w:val="0"/>
          <w:sz w:val="20"/>
        </w:rPr>
        <w:t>•  data/eval_ocr_hardset_report.json 显示图片文字专项测试集中，分类综合准确率为 0.900，但关键信息抽取综合准确率只有 0.4314。</w:t>
      </w:r>
    </w:p>
    <w:p>
      <w:pPr>
        <w:spacing w:after="100" w:line="276" w:lineRule="auto"/>
      </w:pPr>
      <w:r>
        <w:rPr>
          <w:rFonts w:ascii="Microsoft YaHei" w:hAnsi="Microsoft YaHei" w:eastAsia="Microsoft YaHei"/>
          <w:b w:val="0"/>
          <w:sz w:val="21"/>
        </w:rPr>
        <w:t>结论：黑话和隐蔽表达已有可用处理链路；图片文字已经纳入输入结构，但目前不能包装成强生产能力，尤其是从图片文字中抽取账号、链接、联系方式仍是明显短板。</w:t>
      </w:r>
    </w:p>
    <w:p>
      <w:pPr>
        <w:pStyle w:val="Heading2"/>
      </w:pPr>
      <w:r>
        <w:t>4.3 挑战三：效果、成本和速度要平衡</w:t>
      </w:r>
    </w:p>
    <w:p>
      <w:pPr>
        <w:spacing w:after="100" w:line="276" w:lineRule="auto"/>
      </w:pPr>
      <w:r>
        <w:rPr>
          <w:rFonts w:ascii="Microsoft YaHei" w:hAnsi="Microsoft YaHei" w:eastAsia="Microsoft YaHei"/>
          <w:b w:val="0"/>
          <w:sz w:val="21"/>
        </w:rPr>
        <w:t>如果每条内容都交给大模型逐条理解，成本和速度都不可控。当前系统采用“规则优先、必要时再调用大模型”的策略：</w:t>
      </w:r>
    </w:p>
    <w:p>
      <w:pPr>
        <w:spacing w:after="40"/>
        <w:ind w:left="259" w:hanging="173"/>
      </w:pPr>
      <w:r>
        <w:rPr>
          <w:rFonts w:ascii="Microsoft YaHei" w:hAnsi="Microsoft YaHei" w:eastAsia="Microsoft YaHei"/>
          <w:b w:val="0"/>
          <w:sz w:val="20"/>
        </w:rPr>
        <w:t>•  简单查询、常见黑话、常见链接和联系方式先走本地规则；</w:t>
      </w:r>
    </w:p>
    <w:p>
      <w:pPr>
        <w:spacing w:after="40"/>
        <w:ind w:left="259" w:hanging="173"/>
      </w:pPr>
      <w:r>
        <w:rPr>
          <w:rFonts w:ascii="Microsoft YaHei" w:hAnsi="Microsoft YaHei" w:eastAsia="Microsoft YaHei"/>
          <w:b w:val="0"/>
          <w:sz w:val="20"/>
        </w:rPr>
        <w:t>•  复杂查询、联网采集规划、线索整理等高价值环节才在预算内调用大模型；</w:t>
      </w:r>
    </w:p>
    <w:p>
      <w:pPr>
        <w:spacing w:after="40"/>
        <w:ind w:left="259" w:hanging="173"/>
      </w:pPr>
      <w:r>
        <w:rPr>
          <w:rFonts w:ascii="Microsoft YaHei" w:hAnsi="Microsoft YaHei" w:eastAsia="Microsoft YaHei"/>
          <w:b w:val="0"/>
          <w:sz w:val="20"/>
        </w:rPr>
        <w:t>•  对逐条补充理解做价值判断，如果没有带来质量提升，就不默认开启；</w:t>
      </w:r>
    </w:p>
    <w:p>
      <w:pPr>
        <w:spacing w:after="40"/>
        <w:ind w:left="259" w:hanging="173"/>
      </w:pPr>
      <w:r>
        <w:rPr>
          <w:rFonts w:ascii="Microsoft YaHei" w:hAnsi="Microsoft YaHei" w:eastAsia="Microsoft YaHei"/>
          <w:b w:val="0"/>
          <w:sz w:val="20"/>
        </w:rPr>
        <w:t>•  用不同运行档位控制“更快”或“召回更多”的取舍。</w:t>
      </w:r>
    </w:p>
    <w:p>
      <w:pPr>
        <w:spacing w:after="100" w:line="276" w:lineRule="auto"/>
      </w:pPr>
      <w:r>
        <w:rPr>
          <w:rFonts w:ascii="Microsoft YaHei" w:hAnsi="Microsoft YaHei" w:eastAsia="Microsoft YaHei"/>
          <w:b w:val="0"/>
          <w:sz w:val="21"/>
        </w:rPr>
        <w:t>关键证据：</w:t>
      </w:r>
    </w:p>
    <w:p>
      <w:pPr>
        <w:spacing w:after="40"/>
        <w:ind w:left="259" w:hanging="173"/>
      </w:pPr>
      <w:r>
        <w:rPr>
          <w:rFonts w:ascii="Microsoft YaHei" w:hAnsi="Microsoft YaHei" w:eastAsia="Microsoft YaHei"/>
          <w:b w:val="0"/>
          <w:sz w:val="20"/>
        </w:rPr>
        <w:t>•  data/eval_report.json：主评测集一级分类综合准确率 1.000、二级分类 0.9524、关键信息抽取 0.9655、线索判断 1.000；离线每千条大模型调用次数为 0；95% 响应时间约 2.79 秒；</w:t>
      </w:r>
    </w:p>
    <w:p>
      <w:pPr>
        <w:spacing w:after="40"/>
        <w:ind w:left="259" w:hanging="173"/>
      </w:pPr>
      <w:r>
        <w:rPr>
          <w:rFonts w:ascii="Microsoft YaHei" w:hAnsi="Microsoft YaHei" w:eastAsia="Microsoft YaHei"/>
          <w:b w:val="0"/>
          <w:sz w:val="20"/>
        </w:rPr>
        <w:t>•  data/eval/latest_llm_value.json：逐条补充理解会增加 145 次调用，但分类、关键信息、线索指标没有测得提升，因此当前策略是只处理冲突样本；</w:t>
      </w:r>
    </w:p>
    <w:p>
      <w:pPr>
        <w:spacing w:after="40"/>
        <w:ind w:left="259" w:hanging="173"/>
      </w:pPr>
      <w:r>
        <w:rPr>
          <w:rFonts w:ascii="Microsoft YaHei" w:hAnsi="Microsoft YaHei" w:eastAsia="Microsoft YaHei"/>
          <w:b w:val="0"/>
          <w:sz w:val="20"/>
        </w:rPr>
        <w:t>•  config/routing_profiles.yaml 支持快速、均衡、高召回三类运行档位。</w:t>
      </w:r>
    </w:p>
    <w:p>
      <w:pPr>
        <w:spacing w:after="100" w:line="276" w:lineRule="auto"/>
      </w:pPr>
      <w:r>
        <w:rPr>
          <w:rFonts w:ascii="Microsoft YaHei" w:hAnsi="Microsoft YaHei" w:eastAsia="Microsoft YaHei"/>
          <w:b w:val="0"/>
          <w:sz w:val="21"/>
        </w:rPr>
        <w:t>结论：当前默认策略符合“效果、成本、速度平衡”的要求，也能解释为什么不是把所有内容都直接交给大模型。</w:t>
      </w:r>
    </w:p>
    <w:p>
      <w:pPr>
        <w:pStyle w:val="Heading1"/>
      </w:pPr>
      <w:r>
        <w:t>5. 线索质量与可复核证据链</w:t>
      </w:r>
    </w:p>
    <w:p>
      <w:pPr>
        <w:spacing w:after="100" w:line="276" w:lineRule="auto"/>
      </w:pPr>
      <w:r>
        <w:rPr>
          <w:rFonts w:ascii="Microsoft YaHei" w:hAnsi="Microsoft YaHei" w:eastAsia="Microsoft YaHei"/>
          <w:b w:val="0"/>
          <w:sz w:val="21"/>
        </w:rPr>
        <w:t>课题答辩不能只看抽出了多少个实体，更要看线索是否能解释“为什么值得人工查”。当前系统已经把关键信息接入实体关系库、候选线索、重点线索晋升、作弊剧本和证据链展示。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center"/>
            <w:shd w:fill="1F4E7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线索类型</w:t>
            </w:r>
          </w:p>
        </w:tc>
        <w:tc>
          <w:tcPr>
            <w:tcW w:type="dxa" w:w="3389"/>
            <w:vAlign w:val="center"/>
            <w:shd w:fill="1F4E7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晋升条件</w:t>
            </w:r>
          </w:p>
        </w:tc>
        <w:tc>
          <w:tcPr>
            <w:tcW w:type="dxa" w:w="3389"/>
            <w:vAlign w:val="center"/>
            <w:shd w:fill="1F4E7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价值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同一联系方式反复出现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48 小时内同一联系方式至少出现 3 次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说明多个帖子可能由同一团伙或渠道运营</w:t>
            </w:r>
          </w:p>
        </w:tc>
      </w:tr>
      <w:tr>
        <w:tc>
          <w:tcPr>
            <w:tcW w:type="dxa" w:w="3389"/>
            <w:vAlign w:val="center"/>
            <w:shd w:fill="F3F6F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同一域名跨来源出现</w:t>
            </w:r>
          </w:p>
        </w:tc>
        <w:tc>
          <w:tcPr>
            <w:tcW w:type="dxa" w:w="3389"/>
            <w:vAlign w:val="center"/>
            <w:shd w:fill="F3F6F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同一域名来自至少 2 个不同来源</w:t>
            </w:r>
          </w:p>
        </w:tc>
        <w:tc>
          <w:tcPr>
            <w:tcW w:type="dxa" w:w="3389"/>
            <w:vAlign w:val="center"/>
            <w:shd w:fill="F3F6F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比单条帖子更可信，适合优先复核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同一话术模板重复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去重后同类模板至少出现 3 次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识别批量招募、批量推广或批量诈骗话术</w:t>
            </w:r>
          </w:p>
        </w:tc>
      </w:tr>
    </w:tbl>
    <w:p>
      <w:pPr>
        <w:spacing w:after="100" w:line="276" w:lineRule="auto"/>
      </w:pPr>
      <w:r>
        <w:rPr>
          <w:rFonts w:ascii="Microsoft YaHei" w:hAnsi="Microsoft YaHei" w:eastAsia="Microsoft YaHei"/>
          <w:b w:val="0"/>
          <w:sz w:val="21"/>
        </w:rPr>
        <w:t>系统输出默认只给人工复核：对抗建议不会自动封禁、不会自动拉黑、不会自动写入正式库。弱线索会归档，避免召回过多导致人工看不过来。</w:t>
      </w:r>
    </w:p>
    <w:p>
      <w:pPr>
        <w:pStyle w:val="Heading1"/>
      </w:pPr>
      <w:r>
        <w:t>6. 质量评测与边界说明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1"/>
        <w:gridCol w:w="1271"/>
        <w:gridCol w:w="1271"/>
        <w:gridCol w:w="1271"/>
        <w:gridCol w:w="1271"/>
        <w:gridCol w:w="1271"/>
        <w:gridCol w:w="1271"/>
        <w:gridCol w:w="1271"/>
      </w:tblGrid>
      <w:tr>
        <w:tc>
          <w:tcPr>
            <w:tcW w:type="dxa" w:w="1271"/>
            <w:vAlign w:val="center"/>
            <w:shd w:fill="1F4E7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数据集</w:t>
            </w:r>
          </w:p>
        </w:tc>
        <w:tc>
          <w:tcPr>
            <w:tcW w:type="dxa" w:w="1271"/>
            <w:vAlign w:val="center"/>
            <w:shd w:fill="1F4E7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数量</w:t>
            </w:r>
          </w:p>
        </w:tc>
        <w:tc>
          <w:tcPr>
            <w:tcW w:type="dxa" w:w="1271"/>
            <w:vAlign w:val="center"/>
            <w:shd w:fill="1F4E7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一级分类</w:t>
            </w:r>
          </w:p>
        </w:tc>
        <w:tc>
          <w:tcPr>
            <w:tcW w:type="dxa" w:w="1271"/>
            <w:vAlign w:val="center"/>
            <w:shd w:fill="1F4E7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二级分类</w:t>
            </w:r>
          </w:p>
        </w:tc>
        <w:tc>
          <w:tcPr>
            <w:tcW w:type="dxa" w:w="1271"/>
            <w:vAlign w:val="center"/>
            <w:shd w:fill="1F4E7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层级分类</w:t>
            </w:r>
          </w:p>
        </w:tc>
        <w:tc>
          <w:tcPr>
            <w:tcW w:type="dxa" w:w="1271"/>
            <w:vAlign w:val="center"/>
            <w:shd w:fill="1F4E7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关键信息抽取</w:t>
            </w:r>
          </w:p>
        </w:tc>
        <w:tc>
          <w:tcPr>
            <w:tcW w:type="dxa" w:w="1271"/>
            <w:vAlign w:val="center"/>
            <w:shd w:fill="1F4E7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线索判断</w:t>
            </w:r>
          </w:p>
        </w:tc>
        <w:tc>
          <w:tcPr>
            <w:tcW w:type="dxa" w:w="1271"/>
            <w:vAlign w:val="center"/>
            <w:shd w:fill="1F4E7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每百条复核量</w:t>
            </w:r>
          </w:p>
        </w:tc>
      </w:tr>
      <w:tr>
        <w:tc>
          <w:tcPr>
            <w:tcW w:type="dxa" w:w="127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主评测集</w:t>
            </w:r>
          </w:p>
        </w:tc>
        <w:tc>
          <w:tcPr>
            <w:tcW w:type="dxa" w:w="127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100</w:t>
            </w:r>
          </w:p>
        </w:tc>
        <w:tc>
          <w:tcPr>
            <w:tcW w:type="dxa" w:w="127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1.000</w:t>
            </w:r>
          </w:p>
        </w:tc>
        <w:tc>
          <w:tcPr>
            <w:tcW w:type="dxa" w:w="127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0.9524</w:t>
            </w:r>
          </w:p>
        </w:tc>
        <w:tc>
          <w:tcPr>
            <w:tcW w:type="dxa" w:w="127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1.000</w:t>
            </w:r>
          </w:p>
        </w:tc>
        <w:tc>
          <w:tcPr>
            <w:tcW w:type="dxa" w:w="127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0.9655</w:t>
            </w:r>
          </w:p>
        </w:tc>
        <w:tc>
          <w:tcPr>
            <w:tcW w:type="dxa" w:w="127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1.000</w:t>
            </w:r>
          </w:p>
        </w:tc>
        <w:tc>
          <w:tcPr>
            <w:tcW w:type="dxa" w:w="127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10.0</w:t>
            </w:r>
          </w:p>
        </w:tc>
      </w:tr>
      <w:tr>
        <w:tc>
          <w:tcPr>
            <w:tcW w:type="dxa" w:w="1271"/>
            <w:vAlign w:val="center"/>
            <w:shd w:fill="F3F6F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留出测试样本</w:t>
            </w:r>
          </w:p>
        </w:tc>
        <w:tc>
          <w:tcPr>
            <w:tcW w:type="dxa" w:w="1271"/>
            <w:vAlign w:val="center"/>
            <w:shd w:fill="F3F6F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59</w:t>
            </w:r>
          </w:p>
        </w:tc>
        <w:tc>
          <w:tcPr>
            <w:tcW w:type="dxa" w:w="1271"/>
            <w:vAlign w:val="center"/>
            <w:shd w:fill="F3F6F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1.000</w:t>
            </w:r>
          </w:p>
        </w:tc>
        <w:tc>
          <w:tcPr>
            <w:tcW w:type="dxa" w:w="1271"/>
            <w:vAlign w:val="center"/>
            <w:shd w:fill="F3F6F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1.000</w:t>
            </w:r>
          </w:p>
        </w:tc>
        <w:tc>
          <w:tcPr>
            <w:tcW w:type="dxa" w:w="1271"/>
            <w:vAlign w:val="center"/>
            <w:shd w:fill="F3F6F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1.000</w:t>
            </w:r>
          </w:p>
        </w:tc>
        <w:tc>
          <w:tcPr>
            <w:tcW w:type="dxa" w:w="1271"/>
            <w:vAlign w:val="center"/>
            <w:shd w:fill="F3F6F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0.9023</w:t>
            </w:r>
          </w:p>
        </w:tc>
        <w:tc>
          <w:tcPr>
            <w:tcW w:type="dxa" w:w="1271"/>
            <w:vAlign w:val="center"/>
            <w:shd w:fill="F3F6F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0.000</w:t>
            </w:r>
          </w:p>
        </w:tc>
        <w:tc>
          <w:tcPr>
            <w:tcW w:type="dxa" w:w="1271"/>
            <w:vAlign w:val="center"/>
            <w:shd w:fill="F3F6F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61.0</w:t>
            </w:r>
          </w:p>
        </w:tc>
      </w:tr>
      <w:tr>
        <w:tc>
          <w:tcPr>
            <w:tcW w:type="dxa" w:w="127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图片文字专项集</w:t>
            </w:r>
          </w:p>
        </w:tc>
        <w:tc>
          <w:tcPr>
            <w:tcW w:type="dxa" w:w="127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20</w:t>
            </w:r>
          </w:p>
        </w:tc>
        <w:tc>
          <w:tcPr>
            <w:tcW w:type="dxa" w:w="127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0.900</w:t>
            </w:r>
          </w:p>
        </w:tc>
        <w:tc>
          <w:tcPr>
            <w:tcW w:type="dxa" w:w="127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0.7368</w:t>
            </w:r>
          </w:p>
        </w:tc>
        <w:tc>
          <w:tcPr>
            <w:tcW w:type="dxa" w:w="127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0.700</w:t>
            </w:r>
          </w:p>
        </w:tc>
        <w:tc>
          <w:tcPr>
            <w:tcW w:type="dxa" w:w="127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0.4314</w:t>
            </w:r>
          </w:p>
        </w:tc>
        <w:tc>
          <w:tcPr>
            <w:tcW w:type="dxa" w:w="127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0.000</w:t>
            </w:r>
          </w:p>
        </w:tc>
        <w:tc>
          <w:tcPr>
            <w:tcW w:type="dxa" w:w="127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6"/>
              </w:rPr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40.0</w:t>
            </w:r>
          </w:p>
        </w:tc>
      </w:tr>
    </w:tbl>
    <w:p>
      <w:pPr>
        <w:spacing w:after="100" w:line="276" w:lineRule="auto"/>
      </w:pPr>
      <w:r>
        <w:rPr>
          <w:rFonts w:ascii="Microsoft YaHei" w:hAnsi="Microsoft YaHei" w:eastAsia="Microsoft YaHei"/>
          <w:b w:val="0"/>
          <w:sz w:val="21"/>
        </w:rPr>
        <w:t>说明：表中“综合准确率”对应评测报告里的原始综合指标。为了答辩表达更清楚，正文使用“综合准确率”这个说法。</w:t>
      </w:r>
    </w:p>
    <w:p>
      <w:pPr>
        <w:spacing w:after="100" w:line="276" w:lineRule="auto"/>
      </w:pPr>
      <w:r>
        <w:rPr>
          <w:rFonts w:ascii="Microsoft YaHei" w:hAnsi="Microsoft YaHei" w:eastAsia="Microsoft YaHei"/>
          <w:b w:val="0"/>
          <w:sz w:val="21"/>
        </w:rPr>
        <w:t>必须主动说明的边界：</w:t>
      </w:r>
    </w:p>
    <w:p>
      <w:pPr>
        <w:spacing w:after="40"/>
        <w:ind w:left="360" w:hanging="259"/>
      </w:pPr>
      <w:r>
        <w:rPr>
          <w:rFonts w:ascii="Microsoft YaHei" w:hAnsi="Microsoft YaHei" w:eastAsia="Microsoft YaHei"/>
          <w:b w:val="0"/>
          <w:sz w:val="20"/>
        </w:rPr>
        <w:t>1. 主评测集和留出测试样本来自本地公开或授权语料，不等同于线上真实生产效果；</w:t>
      </w:r>
    </w:p>
    <w:p>
      <w:pPr>
        <w:spacing w:after="40"/>
        <w:ind w:left="360" w:hanging="259"/>
      </w:pPr>
      <w:r>
        <w:rPr>
          <w:rFonts w:ascii="Microsoft YaHei" w:hAnsi="Microsoft YaHei" w:eastAsia="Microsoft YaHei"/>
          <w:b w:val="0"/>
          <w:sz w:val="20"/>
        </w:rPr>
        <w:t>2. data/manual_heldout_report.json 当前 confirmed_record_count=0，说明人工复核任务表已经生成，但还没有形成最终人工金标；</w:t>
      </w:r>
    </w:p>
    <w:p>
      <w:pPr>
        <w:spacing w:after="40"/>
        <w:ind w:left="360" w:hanging="259"/>
      </w:pPr>
      <w:r>
        <w:rPr>
          <w:rFonts w:ascii="Microsoft YaHei" w:hAnsi="Microsoft YaHei" w:eastAsia="Microsoft YaHei"/>
          <w:b w:val="0"/>
          <w:sz w:val="20"/>
        </w:rPr>
        <w:t>3. 图片文字专项集是当前最弱项，尤其关键信息抽取只有 0.4314，不能说成生产级图片文字识别；</w:t>
      </w:r>
    </w:p>
    <w:p>
      <w:pPr>
        <w:spacing w:after="40"/>
        <w:ind w:left="360" w:hanging="259"/>
      </w:pPr>
      <w:r>
        <w:rPr>
          <w:rFonts w:ascii="Microsoft YaHei" w:hAnsi="Microsoft YaHei" w:eastAsia="Microsoft YaHei"/>
          <w:b w:val="0"/>
          <w:sz w:val="20"/>
        </w:rPr>
        <w:t>4. 不真实执行的预演、本机回环试跑、小规模联网试跑，只能证明流程连通和合规边界，不能证明广泛平台覆盖。</w:t>
      </w:r>
    </w:p>
    <w:p>
      <w:pPr>
        <w:pStyle w:val="Heading1"/>
      </w:pPr>
      <w:r>
        <w:t>7. 安全合规与运行边界</w:t>
      </w:r>
    </w:p>
    <w:p>
      <w:pPr>
        <w:spacing w:after="100" w:line="276" w:lineRule="auto"/>
      </w:pPr>
      <w:r>
        <w:rPr>
          <w:rFonts w:ascii="Microsoft YaHei" w:hAnsi="Microsoft YaHei" w:eastAsia="Microsoft YaHei"/>
          <w:b w:val="0"/>
          <w:sz w:val="21"/>
        </w:rPr>
        <w:t>已落地控制：</w:t>
      </w:r>
    </w:p>
    <w:p>
      <w:pPr>
        <w:spacing w:after="40"/>
        <w:ind w:left="259" w:hanging="173"/>
      </w:pPr>
      <w:r>
        <w:rPr>
          <w:rFonts w:ascii="Microsoft YaHei" w:hAnsi="Microsoft YaHei" w:eastAsia="Microsoft YaHei"/>
          <w:b w:val="0"/>
          <w:sz w:val="20"/>
        </w:rPr>
        <w:t>•  默认不联网；只有显式打开联网参数，才会访问公开或授权来源；</w:t>
      </w:r>
    </w:p>
    <w:p>
      <w:pPr>
        <w:spacing w:after="40"/>
        <w:ind w:left="259" w:hanging="173"/>
      </w:pPr>
      <w:r>
        <w:rPr>
          <w:rFonts w:ascii="Microsoft YaHei" w:hAnsi="Microsoft YaHei" w:eastAsia="Microsoft YaHei"/>
          <w:b w:val="0"/>
          <w:sz w:val="20"/>
        </w:rPr>
        <w:t>•  采集器要求配置允许访问的域名和合法依据；</w:t>
      </w:r>
    </w:p>
    <w:p>
      <w:pPr>
        <w:spacing w:after="40"/>
        <w:ind w:left="259" w:hanging="173"/>
      </w:pPr>
      <w:r>
        <w:rPr>
          <w:rFonts w:ascii="Microsoft YaHei" w:hAnsi="Microsoft YaHei" w:eastAsia="Microsoft YaHei"/>
          <w:b w:val="0"/>
          <w:sz w:val="20"/>
        </w:rPr>
        <w:t>•  安全拦截模块会阻断正式写入、个人信息外发、未授权采集扩张和绕过限制；</w:t>
      </w:r>
    </w:p>
    <w:p>
      <w:pPr>
        <w:spacing w:after="40"/>
        <w:ind w:left="259" w:hanging="173"/>
      </w:pPr>
      <w:r>
        <w:rPr>
          <w:rFonts w:ascii="Microsoft YaHei" w:hAnsi="Microsoft YaHei" w:eastAsia="Microsoft YaHei"/>
          <w:b w:val="0"/>
          <w:sz w:val="20"/>
        </w:rPr>
        <w:t>•  当前 4163 条交付语料都标记为公开合规来源；</w:t>
      </w:r>
    </w:p>
    <w:p>
      <w:pPr>
        <w:spacing w:after="40"/>
        <w:ind w:left="259" w:hanging="173"/>
      </w:pPr>
      <w:r>
        <w:rPr>
          <w:rFonts w:ascii="Microsoft YaHei" w:hAnsi="Microsoft YaHei" w:eastAsia="Microsoft YaHei"/>
          <w:b w:val="0"/>
          <w:sz w:val="20"/>
        </w:rPr>
        <w:t>•  对抗建议默认只给人工复核，不自动触发线上处置。</w:t>
      </w:r>
    </w:p>
    <w:p>
      <w:pPr>
        <w:spacing w:after="100" w:line="276" w:lineRule="auto"/>
      </w:pPr>
      <w:r>
        <w:rPr>
          <w:rFonts w:ascii="Microsoft YaHei" w:hAnsi="Microsoft YaHei" w:eastAsia="Microsoft YaHei"/>
          <w:b w:val="0"/>
          <w:sz w:val="21"/>
        </w:rPr>
        <w:t>运行边界：</w:t>
      </w:r>
    </w:p>
    <w:p>
      <w:pPr>
        <w:spacing w:after="40"/>
        <w:ind w:left="259" w:hanging="173"/>
      </w:pPr>
      <w:r>
        <w:rPr>
          <w:rFonts w:ascii="Microsoft YaHei" w:hAnsi="Microsoft YaHei" w:eastAsia="Microsoft YaHei"/>
          <w:b w:val="0"/>
          <w:sz w:val="20"/>
        </w:rPr>
        <w:t>•  当前不是正式对外网页服务，也不是多用户生产系统；</w:t>
      </w:r>
    </w:p>
    <w:p>
      <w:pPr>
        <w:spacing w:after="40"/>
        <w:ind w:left="259" w:hanging="173"/>
      </w:pPr>
      <w:r>
        <w:rPr>
          <w:rFonts w:ascii="Microsoft YaHei" w:hAnsi="Microsoft YaHei" w:eastAsia="Microsoft YaHei"/>
          <w:b w:val="0"/>
          <w:sz w:val="20"/>
        </w:rPr>
        <w:t>•  scripts/serve_demo_api.py 是本机答辩演示接口，默认绑定本机地址；</w:t>
      </w:r>
    </w:p>
    <w:p>
      <w:pPr>
        <w:spacing w:after="40"/>
        <w:ind w:left="259" w:hanging="173"/>
      </w:pPr>
      <w:r>
        <w:rPr>
          <w:rFonts w:ascii="Microsoft YaHei" w:hAnsi="Microsoft YaHei" w:eastAsia="Microsoft YaHei"/>
          <w:b w:val="0"/>
          <w:sz w:val="20"/>
        </w:rPr>
        <w:t>•  不宣称覆盖私群、登录后页面、验证码页面或平台规则不明确页面；</w:t>
      </w:r>
    </w:p>
    <w:p>
      <w:pPr>
        <w:spacing w:after="40"/>
        <w:ind w:left="259" w:hanging="173"/>
      </w:pPr>
      <w:r>
        <w:rPr>
          <w:rFonts w:ascii="Microsoft YaHei" w:hAnsi="Microsoft YaHei" w:eastAsia="Microsoft YaHei"/>
          <w:b w:val="0"/>
          <w:sz w:val="20"/>
        </w:rPr>
        <w:t>•  不把本机试跑、小规模联网试跑、留出样本评测说成线上生产效果。</w:t>
      </w:r>
    </w:p>
    <w:p>
      <w:pPr>
        <w:pStyle w:val="Heading1"/>
      </w:pPr>
      <w:r>
        <w:t>8. 建议验收演示路径</w:t>
      </w:r>
    </w:p>
    <w:p>
      <w:pPr>
        <w:spacing w:after="100" w:line="276" w:lineRule="auto"/>
      </w:pPr>
      <w:r>
        <w:rPr>
          <w:rFonts w:ascii="Microsoft YaHei" w:hAnsi="Microsoft YaHei" w:eastAsia="Microsoft YaHei"/>
          <w:b w:val="0"/>
          <w:sz w:val="21"/>
        </w:rPr>
        <w:t>建议现场演示按“可运行入口 -&gt; 阶段产物 -&gt; 线索证据 -&gt; 评测边界”顺序：</w:t>
      </w:r>
    </w:p>
    <w:p>
      <w:pPr>
        <w:spacing w:after="120"/>
        <w:ind w:left="360"/>
      </w:pPr>
      <w:r>
        <w:rPr>
          <w:rFonts w:ascii="Consolas" w:hAnsi="Consolas" w:eastAsia="Microsoft YaHei"/>
          <w:b w:val="0"/>
          <w:sz w:val="17"/>
        </w:rPr>
        <w:t>python scripts/run_agent_cli.py --demo-sample --show clues</w:t>
        <w:br/>
        <w:t>python scripts/serve_demo_api.py --oneshot-output data/demo_api_report.json</w:t>
        <w:br/>
        <w:t>python scripts/export_delivery_corpora.py</w:t>
        <w:br/>
        <w:t>python scripts/run_cleaning_phase.py</w:t>
        <w:br/>
        <w:t>python scripts/run_classification_extraction_phase.py --source auto</w:t>
        <w:br/>
        <w:t>python -m pytest -q</w:t>
      </w:r>
    </w:p>
    <w:p>
      <w:pPr>
        <w:spacing w:after="100" w:line="276" w:lineRule="auto"/>
      </w:pPr>
      <w:r>
        <w:rPr>
          <w:rFonts w:ascii="Microsoft YaHei" w:hAnsi="Microsoft YaHei" w:eastAsia="Microsoft YaHei"/>
          <w:b w:val="0"/>
          <w:sz w:val="21"/>
        </w:rPr>
        <w:t>如现场时间有限，优先演示前两条命令：第一条展示从输入到线索输出，第二条生成本机可保存的演示报告；再用 data 目录下的报告解释四个阶段产物和质量边界。</w:t>
      </w:r>
    </w:p>
    <w:p>
      <w:pPr>
        <w:pStyle w:val="Heading1"/>
      </w:pPr>
      <w:r>
        <w:t>9. 后续优化优先级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center"/>
            <w:shd w:fill="1F4E7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3389"/>
            <w:vAlign w:val="center"/>
            <w:shd w:fill="1F4E7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优化项</w:t>
            </w:r>
          </w:p>
        </w:tc>
        <w:tc>
          <w:tcPr>
            <w:tcW w:type="dxa" w:w="3389"/>
            <w:vAlign w:val="center"/>
            <w:shd w:fill="1F4E7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目标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P0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人工确认闭环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完成 59 条留出测试样本的人工确认，补充线索关系金标和冲突处理字段</w:t>
            </w:r>
          </w:p>
        </w:tc>
      </w:tr>
      <w:tr>
        <w:tc>
          <w:tcPr>
            <w:tcW w:type="dxa" w:w="3389"/>
            <w:vAlign w:val="center"/>
            <w:shd w:fill="F3F6F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P0</w:t>
            </w:r>
          </w:p>
        </w:tc>
        <w:tc>
          <w:tcPr>
            <w:tcW w:type="dxa" w:w="3389"/>
            <w:vAlign w:val="center"/>
            <w:shd w:fill="F3F6F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来源结构更均衡</w:t>
            </w:r>
          </w:p>
        </w:tc>
        <w:tc>
          <w:tcPr>
            <w:tcW w:type="dxa" w:w="3389"/>
            <w:vAlign w:val="center"/>
            <w:shd w:fill="F3F6F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增加社媒/论坛、垂直/技术站等授权来源，降低聊天类来源占比过高的问题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P1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图片文字增强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接入更强图片文字识别方案，重点提升账号、链接、联系方式抽取能力</w:t>
            </w:r>
          </w:p>
        </w:tc>
      </w:tr>
      <w:tr>
        <w:tc>
          <w:tcPr>
            <w:tcW w:type="dxa" w:w="3389"/>
            <w:vAlign w:val="center"/>
            <w:shd w:fill="F3F6F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P1</w:t>
            </w:r>
          </w:p>
        </w:tc>
        <w:tc>
          <w:tcPr>
            <w:tcW w:type="dxa" w:w="3389"/>
            <w:vAlign w:val="center"/>
            <w:shd w:fill="F3F6F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降低复核负担</w:t>
            </w:r>
          </w:p>
        </w:tc>
        <w:tc>
          <w:tcPr>
            <w:tcW w:type="dxa" w:w="3389"/>
            <w:vAlign w:val="center"/>
            <w:shd w:fill="F3F6F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对“待确认”和冲突样本继续拆细，优先把最值得看的线索推给人工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P2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本机看板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把运行报告整理成本机看板，方便答辩和日常复查，主入口仍保持命令行和本机运行类</w:t>
            </w:r>
          </w:p>
        </w:tc>
      </w:tr>
    </w:tbl>
    <w:p>
      <w:pPr>
        <w:pStyle w:val="Heading1"/>
      </w:pPr>
      <w:r>
        <w:t>10. 最终结论</w:t>
      </w:r>
    </w:p>
    <w:p>
      <w:pPr>
        <w:spacing w:after="100" w:line="276" w:lineRule="auto"/>
      </w:pPr>
      <w:r>
        <w:rPr>
          <w:rFonts w:ascii="Microsoft YaHei" w:hAnsi="Microsoft YaHei" w:eastAsia="Microsoft YaHei"/>
          <w:b w:val="0"/>
          <w:sz w:val="21"/>
        </w:rPr>
        <w:t>BlackAgent 已经可以按课题要求完成端到端黑灰产情报处理：从合规采集、清洗去重、高风险识别、风险分类、关键信息抽取，到线索晋升、证据链和人工复核建议，已经形成可运行、可复查、可解释的阶段交付。</w:t>
      </w:r>
    </w:p>
    <w:p>
      <w:pPr>
        <w:spacing w:after="100" w:line="276" w:lineRule="auto"/>
      </w:pPr>
      <w:r>
        <w:rPr>
          <w:rFonts w:ascii="Microsoft YaHei" w:hAnsi="Microsoft YaHei" w:eastAsia="Microsoft YaHei"/>
          <w:b/>
          <w:sz w:val="21"/>
        </w:rPr>
        <w:t>建议验收结论：通过阶段验收，进入“人工确认闭环 + 图片文字增强 + 来源结构均衡 + 本机看板”下一阶段优化。</w:t>
      </w:r>
    </w:p>
    <w:sectPr w:rsidR="00FC693F" w:rsidRPr="0006063C" w:rsidSect="00034616">
      <w:footerReference w:type="default" r:id="rId9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4748B"/>
        <w:sz w:val="16"/>
      </w:rPr>
      <w:t>BlackAgent 阶段验收报告 · 通俗中文答辩版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F629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F62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F629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