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Microsoft YaHei" w:cs="Microsoft YaHei" w:eastAsia="Microsoft YaHei" w:hAnsi="Microsoft YaHei"/>
          <w:b/>
          <w:bCs/>
          <w:color w:val="0B2545"/>
          <w:sz w:val="42"/>
          <w:szCs w:val="42"/>
        </w:rPr>
        <w:t xml:space="preserve">BlackAgent 黑灰产情报分析 Agent 阶段验收报告</w:t>
      </w:r>
    </w:p>
    <w:p>
      <w:pPr>
        <w:spacing w:after="260"/>
        <w:jc w:val="center"/>
      </w:pPr>
      <w:r>
        <w:rPr>
          <w:rFonts w:ascii="Microsoft YaHei" w:cs="Microsoft YaHei" w:eastAsia="Microsoft YaHei" w:hAnsi="Microsoft YaHei"/>
          <w:b/>
          <w:bCs/>
          <w:color w:val="0F766E"/>
          <w:sz w:val="24"/>
          <w:szCs w:val="24"/>
        </w:rPr>
        <w:t xml:space="preserve">阶段目标 · 核心挑战 · 交付证据 · 边界说明</w:t>
      </w:r>
    </w:p>
    <w:tbl>
      <w:tblPr>
        <w:tblW w:type="dxa" w:w="9360"/>
        <w:tblBorders>
          <w:top w:val="single" w:color="0F766E" w:sz="1"/>
          <w:left w:val="single" w:color="0F766E" w:sz="1"/>
          <w:bottom w:val="single" w:color="0F766E" w:sz="1"/>
          <w:right w:val="single" w:color="0F766E" w:sz="1"/>
          <w:insideH w:val="single" w:color="B8C5D6" w:sz="1"/>
          <w:insideV w:val="single" w:color="B8C5D6" w:sz="1"/>
        </w:tblBorders>
        <w:tblLayout w:type="fixed"/>
        <w:tblCellMar>
          <w:top w:type="dxa" w:w="120"/>
          <w:left w:type="dxa" w:w="160"/>
          <w:bottom w:type="dxa" w:w="120"/>
          <w:right w:type="dxa" w:w="160"/>
        </w:tblCellMar>
      </w:tblPr>
      <w:tblGrid>
        <w:gridCol w:w="9360"/>
      </w:tblGrid>
      <w:tr>
        <w:tc>
          <w:tcPr>
            <w:shd w:fill="F8FAFC" w:val="clear"/>
          </w:tcPr>
          <w:p>
            <w:pPr>
              <w:spacing w:after="80" w:before="0" w:line="300"/>
            </w:pPr>
            <w:r>
              <w:rPr>
                <w:rFonts w:ascii="Microsoft YaHei" w:cs="Microsoft YaHei" w:eastAsia="Microsoft YaHei" w:hAnsi="Microsoft YaHei"/>
                <w:b/>
                <w:bCs/>
                <w:color w:val="0F766E"/>
                <w:sz w:val="23"/>
                <w:szCs w:val="23"/>
              </w:rPr>
              <w:t xml:space="preserve">验收结论</w:t>
            </w:r>
          </w:p>
          <w:p>
            <w:pPr>
              <w:spacing w:after="0" w:before="0" w:line="300"/>
            </w:pPr>
            <w:r>
              <w:rPr>
                <w:rFonts w:ascii="Microsoft YaHei" w:cs="Microsoft YaHei" w:eastAsia="Microsoft YaHei" w:hAnsi="Microsoft YaHei"/>
                <w:color w:val="1F2937"/>
                <w:sz w:val="21"/>
                <w:szCs w:val="21"/>
              </w:rPr>
              <w:t xml:space="preserve">BlackAgent 当前已经形成本地可运行的黑灰产公开/授权情报调查 Agent。对照课题四个阶段目标，采集、清洗、分类、抽取均已有对应代码、配置、脚本、数据产物和评测报告支撑。建议按“阶段目标达成 + 核心挑战有工程化解法 + 边界透明 + 持续优化”口径验收通过。</w:t>
            </w:r>
          </w:p>
        </w:tc>
      </w:tr>
    </w:tbl>
    <w:p>
      <w:pPr>
        <w:spacing w:after="260" w:before="0" w:line="300"/>
      </w:pPr>
      <w:r>
        <w:rPr>
          <w:rFonts w:ascii="Microsoft YaHei" w:cs="Microsoft YaHei" w:eastAsia="Microsoft YaHei" w:hAnsi="Microsoft YaHei"/>
          <w:color w:val="4B5563"/>
          <w:sz w:val="20"/>
          <w:szCs w:val="20"/>
        </w:rPr>
        <w:t xml:space="preserve">项目目录：D:\研一\BlackAgent　　报告日期：2026-06-05</w:t>
      </w:r>
    </w:p>
    <w:p>
      <w:pPr>
        <w:pStyle w:val="Heading1"/>
        <w:keepNext/>
        <w:spacing w:after="160" w:before="300" w:line="300"/>
      </w:pPr>
      <w:r>
        <w:rPr>
          <w:rFonts w:ascii="Microsoft YaHei" w:cs="Microsoft YaHei" w:eastAsia="Microsoft YaHei" w:hAnsi="Microsoft YaHei"/>
          <w:b/>
          <w:bCs/>
          <w:color w:val="2E74B5"/>
          <w:sz w:val="32"/>
          <w:szCs w:val="32"/>
        </w:rPr>
        <w:t xml:space="preserve">1. 课题要求摘要</w:t>
      </w:r>
    </w:p>
    <w:p>
      <w:pPr>
        <w:spacing w:after="120" w:before="0" w:line="300"/>
      </w:pPr>
      <w:r>
        <w:rPr>
          <w:rFonts w:ascii="Microsoft YaHei" w:cs="Microsoft YaHei" w:eastAsia="Microsoft YaHei" w:hAnsi="Microsoft YaHei"/>
          <w:color w:val="1F2937"/>
          <w:sz w:val="22"/>
          <w:szCs w:val="22"/>
        </w:rPr>
        <w:t xml:space="preserve">课题文档要求构建一条“情报采集 -&gt; 智能清洗 -&gt; 意图分类 -&gt; 实体抽取”的端到端自动化分析流水线，帮助业务从“人肉研判”走向“智能对抗”。总体目标是把散落的黑灰产情报自动变成结构化的作弊剧本和对抗方案。</w:t>
      </w:r>
    </w:p>
    <w:p>
      <w:pPr>
        <w:spacing w:after="120" w:before="0" w:line="300"/>
      </w:pPr>
      <w:r>
        <w:rPr>
          <w:rFonts w:ascii="Microsoft YaHei" w:cs="Microsoft YaHei" w:eastAsia="Microsoft YaHei" w:hAnsi="Microsoft YaHei"/>
          <w:color w:val="1F2937"/>
          <w:sz w:val="22"/>
          <w:szCs w:val="22"/>
        </w:rPr>
        <w:t xml:space="preserve">启动会进一步明确：最终评判偏端到端完整度和线索质量；分类体系可以自定义，但需要合理且可被人工复核；采集必须合规，不能购买数据、恶意抓取或绕过平台限制；答辩需要讲清楚使用了哪些数据、怎么做、最终达到什么效果。</w:t>
      </w:r>
    </w:p>
    <w:p>
      <w:pPr>
        <w:pStyle w:val="Heading1"/>
        <w:keepNext/>
        <w:spacing w:after="160" w:before="300" w:line="300"/>
      </w:pPr>
      <w:r>
        <w:rPr>
          <w:rFonts w:ascii="Microsoft YaHei" w:cs="Microsoft YaHei" w:eastAsia="Microsoft YaHei" w:hAnsi="Microsoft YaHei"/>
          <w:b/>
          <w:bCs/>
          <w:color w:val="2E74B5"/>
          <w:sz w:val="32"/>
          <w:szCs w:val="32"/>
        </w:rPr>
        <w:t xml:space="preserve">2. 分阶段目标验收</w:t>
      </w:r>
    </w:p>
    <w:tbl>
      <w:tblPr>
        <w:tblW w:type="dxa" w:w="9360"/>
        <w:tblBorders>
          <w:top w:val="single" w:color="B8C5D6" w:sz="1"/>
          <w:left w:val="single" w:color="B8C5D6" w:sz="1"/>
          <w:bottom w:val="single" w:color="B8C5D6" w:sz="1"/>
          <w:right w:val="single" w:color="B8C5D6" w:sz="1"/>
          <w:insideH w:val="single" w:color="B8C5D6" w:sz="1"/>
          <w:insideV w:val="single" w:color="B8C5D6" w:sz="1"/>
        </w:tblBorders>
        <w:tblLayout w:type="fixed"/>
      </w:tblPr>
      <w:tblGrid>
        <w:gridCol w:w="1200"/>
        <w:gridCol w:w="2100"/>
        <w:gridCol w:w="2600"/>
        <w:gridCol w:w="2700"/>
        <w:gridCol w:w="760"/>
      </w:tblGrid>
      <w:tr>
        <w:trPr>
          <w:tblHeader/>
        </w:trPr>
        <w:tc>
          <w:tcPr>
            <w:tcW w:type="dxa" w:w="12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阶段</w:t>
            </w:r>
          </w:p>
        </w:tc>
        <w:tc>
          <w:tcPr>
            <w:tcW w:type="dxa" w:w="21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课题目标</w:t>
            </w:r>
          </w:p>
        </w:tc>
        <w:tc>
          <w:tcPr>
            <w:tcW w:type="dxa" w:w="26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当前实现</w:t>
            </w:r>
          </w:p>
        </w:tc>
        <w:tc>
          <w:tcPr>
            <w:tcW w:type="dxa" w:w="27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验收证据</w:t>
            </w:r>
          </w:p>
        </w:tc>
        <w:tc>
          <w:tcPr>
            <w:tcW w:type="dxa" w:w="76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结论</w:t>
            </w:r>
          </w:p>
        </w:tc>
      </w:tr>
      <w:tr>
        <w:tc>
          <w:tcPr>
            <w:tcW w:type="dxa" w:w="12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数据采集</w:t>
            </w:r>
          </w:p>
        </w:tc>
        <w:tc>
          <w:tcPr>
            <w:tcW w:type="dxa" w:w="21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打通 IM、群组、论坛等至少 3 类情报源，产出原始情报数据集</w:t>
            </w:r>
          </w:p>
        </w:tc>
        <w:tc>
          <w:tcPr>
            <w:tcW w:type="dxa" w:w="26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source catalog、授权 HTTP collector、X/TG/公开页面采集脚本、SQLite 与 raw JSONL 导出</w:t>
            </w:r>
          </w:p>
        </w:tc>
        <w:tc>
          <w:tcPr>
            <w:tcW w:type="dxa" w:w="27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raw=4163；三类 source live smoke 均达到 ≥3 条</w:t>
            </w:r>
          </w:p>
        </w:tc>
        <w:tc>
          <w:tcPr>
            <w:tcW w:type="dxa" w:w="76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达成</w:t>
            </w:r>
          </w:p>
        </w:tc>
      </w:tr>
      <w:tr>
        <w:tc>
          <w:tcPr>
            <w:tcW w:type="dxa" w:w="12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智能清洗</w:t>
            </w:r>
          </w:p>
        </w:tc>
        <w:tc>
          <w:tcPr>
            <w:tcW w:type="dxa" w:w="21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自动去重、过滤噪声、识别高危内容，产出高质量语料</w:t>
            </w:r>
          </w:p>
        </w:tc>
        <w:tc>
          <w:tcPr>
            <w:tcW w:type="dxa" w:w="26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CleanStage、DedupStage、quality profile、risk scorer、多模态字段物化</w:t>
            </w:r>
          </w:p>
        </w:tc>
        <w:tc>
          <w:tcPr>
            <w:tcW w:type="dxa" w:w="27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input=4163，cleaned=3464，dropped=699，duplicate_drop=650，high_risk=1095</w:t>
            </w:r>
          </w:p>
        </w:tc>
        <w:tc>
          <w:tcPr>
            <w:tcW w:type="dxa" w:w="76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达成</w:t>
            </w:r>
          </w:p>
        </w:tc>
      </w:tr>
      <w:tr>
        <w:tc>
          <w:tcPr>
            <w:tcW w:type="dxa" w:w="12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意图分类</w:t>
            </w:r>
          </w:p>
        </w:tc>
        <w:tc>
          <w:tcPr>
            <w:tcW w:type="dxa" w:w="21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将内容按诈骗、引流、作弊、工具交易等风险类型自动分类</w:t>
            </w:r>
          </w:p>
        </w:tc>
        <w:tc>
          <w:tcPr>
            <w:tcW w:type="dxa" w:w="26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Fine-grained classifier、RiskPolarityScorer、rule/LLM/final/resolution 仲裁</w:t>
            </w:r>
          </w:p>
        </w:tc>
        <w:tc>
          <w:tcPr>
            <w:tcW w:type="dxa" w:w="27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classification_count=3464；高危视图 phase_input_count=1061</w:t>
            </w:r>
          </w:p>
        </w:tc>
        <w:tc>
          <w:tcPr>
            <w:tcW w:type="dxa" w:w="76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达成</w:t>
            </w:r>
          </w:p>
        </w:tc>
      </w:tr>
      <w:tr>
        <w:tc>
          <w:tcPr>
            <w:tcW w:type="dxa" w:w="12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实体抽取</w:t>
            </w:r>
          </w:p>
        </w:tc>
        <w:tc>
          <w:tcPr>
            <w:tcW w:type="dxa" w:w="21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抽取风险标签、黑话、链接、账号、联系方式、工具资产等，形成结构化实体库</w:t>
            </w:r>
          </w:p>
        </w:tc>
        <w:tc>
          <w:tcPr>
            <w:tcW w:type="dxa" w:w="26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AdvancedEntityExtractor、EntityNormalizer、masked/hash 字段、EntityGraphStore</w:t>
            </w:r>
          </w:p>
        </w:tc>
        <w:tc>
          <w:tcPr>
            <w:tcW w:type="dxa" w:w="27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全量实体 21774；高危视图实体 4698</w:t>
            </w:r>
          </w:p>
        </w:tc>
        <w:tc>
          <w:tcPr>
            <w:tcW w:type="dxa" w:w="76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达成</w:t>
            </w:r>
          </w:p>
        </w:tc>
      </w:tr>
    </w:tbl>
    <w:p>
      <w:pPr>
        <w:pStyle w:val="Heading1"/>
        <w:keepNext/>
        <w:spacing w:after="160" w:before="300" w:line="300"/>
      </w:pPr>
      <w:r>
        <w:rPr>
          <w:rFonts w:ascii="Microsoft YaHei" w:cs="Microsoft YaHei" w:eastAsia="Microsoft YaHei" w:hAnsi="Microsoft YaHei"/>
          <w:b/>
          <w:bCs/>
          <w:color w:val="2E74B5"/>
          <w:sz w:val="32"/>
          <w:szCs w:val="32"/>
        </w:rPr>
        <w:t xml:space="preserve">3. 核心挑战应对情况</w:t>
      </w:r>
    </w:p>
    <w:p>
      <w:pPr>
        <w:pStyle w:val="Heading2"/>
        <w:keepNext/>
        <w:spacing w:after="120" w:before="220" w:line="300"/>
      </w:pPr>
      <w:r>
        <w:rPr>
          <w:rFonts w:ascii="Microsoft YaHei" w:cs="Microsoft YaHei" w:eastAsia="Microsoft YaHei" w:hAnsi="Microsoft YaHei"/>
          <w:b/>
          <w:bCs/>
          <w:color w:val="2E74B5"/>
          <w:sz w:val="26"/>
          <w:szCs w:val="26"/>
        </w:rPr>
        <w:t xml:space="preserve">3.1 多源异构、噪声大、重复率高</w:t>
      </w:r>
    </w:p>
    <w:p>
      <w:pPr>
        <w:spacing w:after="120" w:before="0" w:line="300"/>
      </w:pPr>
      <w:r>
        <w:rPr>
          <w:rFonts w:ascii="Microsoft YaHei" w:cs="Microsoft YaHei" w:eastAsia="Microsoft YaHei" w:hAnsi="Microsoft YaHei"/>
          <w:color w:val="1F2937"/>
          <w:sz w:val="22"/>
          <w:szCs w:val="22"/>
        </w:rPr>
        <w:t xml:space="preserve">当前系统通过 source catalog、授权 source policy、HTTP feed collector、采集元数据和清洗 pipeline 解决这一挑战。采集快照和派生阶段输入已经分开报告：raw snapshot 为 4163，cleaned/classified 输入为 3464，避免把过滤视图误说成全量 raw。</w:t>
      </w:r>
    </w:p>
    <w:p>
      <w:pPr>
        <w:pStyle w:val="ListParagraph"/>
        <w:numPr>
          <w:ilvl w:val="0"/>
          <w:numId w:val="1"/>
        </w:numPr>
        <w:spacing w:after="80" w:before="0" w:line="300"/>
      </w:pPr>
      <w:r>
        <w:rPr>
          <w:rFonts w:ascii="Microsoft YaHei" w:cs="Microsoft YaHei" w:eastAsia="Microsoft YaHei" w:hAnsi="Microsoft YaHei"/>
          <w:color w:val="1F2937"/>
          <w:sz w:val="21"/>
          <w:szCs w:val="21"/>
        </w:rPr>
        <w:t xml:space="preserve">source class 覆盖：IM/group 3786、social/forum 356、vertical/technical 21。</w:t>
      </w:r>
    </w:p>
    <w:p>
      <w:pPr>
        <w:pStyle w:val="ListParagraph"/>
        <w:numPr>
          <w:ilvl w:val="0"/>
          <w:numId w:val="1"/>
        </w:numPr>
        <w:spacing w:after="80" w:before="0" w:line="300"/>
      </w:pPr>
      <w:r>
        <w:rPr>
          <w:rFonts w:ascii="Microsoft YaHei" w:cs="Microsoft YaHei" w:eastAsia="Microsoft YaHei" w:hAnsi="Microsoft YaHei"/>
          <w:color w:val="1F2937"/>
          <w:sz w:val="21"/>
          <w:szCs w:val="21"/>
        </w:rPr>
        <w:t xml:space="preserve">live authorized smoke：IM/group collected=6，social/forum collected=5，vertical/technical collected=7，三类均达到 target_min_records=3。</w:t>
      </w:r>
    </w:p>
    <w:p>
      <w:pPr>
        <w:pStyle w:val="ListParagraph"/>
        <w:numPr>
          <w:ilvl w:val="0"/>
          <w:numId w:val="1"/>
        </w:numPr>
        <w:spacing w:after="80" w:before="0" w:line="300"/>
      </w:pPr>
      <w:r>
        <w:rPr>
          <w:rFonts w:ascii="Microsoft YaHei" w:cs="Microsoft YaHei" w:eastAsia="Microsoft YaHei" w:hAnsi="Microsoft YaHei"/>
          <w:color w:val="1F2937"/>
          <w:sz w:val="21"/>
          <w:szCs w:val="21"/>
        </w:rPr>
        <w:t xml:space="preserve">清洗阶段去噪：699 条 dropped，其中 duplicate=650、generic_guide_noise=43、defensive_context_noise=6。</w:t>
      </w:r>
    </w:p>
    <w:p>
      <w:pPr>
        <w:pStyle w:val="ListParagraph"/>
        <w:numPr>
          <w:ilvl w:val="0"/>
          <w:numId w:val="1"/>
        </w:numPr>
        <w:spacing w:after="80" w:before="0" w:line="300"/>
      </w:pPr>
      <w:r>
        <w:rPr>
          <w:rFonts w:ascii="Microsoft YaHei" w:cs="Microsoft YaHei" w:eastAsia="Microsoft YaHei" w:hAnsi="Microsoft YaHei"/>
          <w:color w:val="1F2937"/>
          <w:sz w:val="21"/>
          <w:szCs w:val="21"/>
        </w:rPr>
        <w:t xml:space="preserve">quota-balanced sample 选中 1626 条，并显式暴露 social/forum、vertical/technical underfilled warning。</w:t>
      </w:r>
    </w:p>
    <w:tbl>
      <w:tblPr>
        <w:tblW w:type="dxa" w:w="9360"/>
        <w:tblBorders>
          <w:top w:val="single" w:color="7A5A00" w:sz="1"/>
          <w:left w:val="single" w:color="7A5A00" w:sz="1"/>
          <w:bottom w:val="single" w:color="7A5A00" w:sz="1"/>
          <w:right w:val="single" w:color="7A5A00" w:sz="1"/>
          <w:insideH w:val="single" w:color="B8C5D6" w:sz="1"/>
          <w:insideV w:val="single" w:color="B8C5D6" w:sz="1"/>
        </w:tblBorders>
        <w:tblLayout w:type="fixed"/>
        <w:tblCellMar>
          <w:top w:type="dxa" w:w="120"/>
          <w:left w:type="dxa" w:w="160"/>
          <w:bottom w:type="dxa" w:w="120"/>
          <w:right w:type="dxa" w:w="160"/>
        </w:tblCellMar>
      </w:tblPr>
      <w:tblGrid>
        <w:gridCol w:w="9360"/>
      </w:tblGrid>
      <w:tr>
        <w:tc>
          <w:tcPr>
            <w:shd w:fill="F8FAFC" w:val="clear"/>
          </w:tcPr>
          <w:p>
            <w:pPr>
              <w:spacing w:after="80" w:before="0" w:line="300"/>
            </w:pPr>
            <w:r>
              <w:rPr>
                <w:rFonts w:ascii="Microsoft YaHei" w:cs="Microsoft YaHei" w:eastAsia="Microsoft YaHei" w:hAnsi="Microsoft YaHei"/>
                <w:b/>
                <w:bCs/>
                <w:color w:val="7A5A00"/>
                <w:sz w:val="23"/>
                <w:szCs w:val="23"/>
              </w:rPr>
              <w:t xml:space="preserve">小结</w:t>
            </w:r>
          </w:p>
          <w:p>
            <w:pPr>
              <w:spacing w:after="0" w:before="0" w:line="300"/>
            </w:pPr>
            <w:r>
              <w:rPr>
                <w:rFonts w:ascii="Microsoft YaHei" w:cs="Microsoft YaHei" w:eastAsia="Microsoft YaHei" w:hAnsi="Microsoft YaHei"/>
                <w:color w:val="1F2937"/>
                <w:sz w:val="21"/>
                <w:szCs w:val="21"/>
              </w:rPr>
              <w:t xml:space="preserve">已具备合规多源采集和清洗能力；当前主要边界是 raw corpus 仍偏向 Telegram/IM，后续应继续补齐非 IM 授权源。</w:t>
            </w:r>
          </w:p>
        </w:tc>
      </w:tr>
    </w:tbl>
    <w:p>
      <w:pPr>
        <w:pStyle w:val="Heading2"/>
        <w:keepNext/>
        <w:spacing w:after="120" w:before="220" w:line="300"/>
      </w:pPr>
      <w:r>
        <w:rPr>
          <w:rFonts w:ascii="Microsoft YaHei" w:cs="Microsoft YaHei" w:eastAsia="Microsoft YaHei" w:hAnsi="Microsoft YaHei"/>
          <w:b/>
          <w:bCs/>
          <w:color w:val="2E74B5"/>
          <w:sz w:val="26"/>
          <w:szCs w:val="26"/>
        </w:rPr>
        <w:t xml:space="preserve">3.2 黑话变种、语义隐蔽、图片文字</w:t>
      </w:r>
    </w:p>
    <w:p>
      <w:pPr>
        <w:spacing w:after="120" w:before="0" w:line="300"/>
      </w:pPr>
      <w:r>
        <w:rPr>
          <w:rFonts w:ascii="Microsoft YaHei" w:cs="Microsoft YaHei" w:eastAsia="Microsoft YaHei" w:hAnsi="Microsoft YaHei"/>
          <w:color w:val="1F2937"/>
          <w:sz w:val="22"/>
          <w:szCs w:val="22"/>
        </w:rPr>
        <w:t xml:space="preserve">当前系统通过 RuleRegistry、风险词库、上下文极性、实体归一化和多模态字段保留处理黑话与隐蔽语义。采集 manifest 已记录 variant/homophone、emoji marker 与 multimodal_text 信号。</w:t>
      </w:r>
    </w:p>
    <w:tbl>
      <w:tblPr>
        <w:tblW w:type="dxa" w:w="9360"/>
        <w:tblBorders>
          <w:top w:val="single" w:color="B8C5D6" w:sz="1"/>
          <w:left w:val="single" w:color="B8C5D6" w:sz="1"/>
          <w:bottom w:val="single" w:color="B8C5D6" w:sz="1"/>
          <w:right w:val="single" w:color="B8C5D6" w:sz="1"/>
          <w:insideH w:val="single" w:color="B8C5D6" w:sz="1"/>
          <w:insideV w:val="single" w:color="B8C5D6" w:sz="1"/>
        </w:tblBorders>
        <w:tblLayout w:type="fixed"/>
      </w:tblPr>
      <w:tblGrid>
        <w:gridCol w:w="3100"/>
        <w:gridCol w:w="1700"/>
        <w:gridCol w:w="5260"/>
      </w:tblGrid>
      <w:tr>
        <w:trPr>
          <w:tblHeader/>
        </w:trPr>
        <w:tc>
          <w:tcPr>
            <w:tcW w:type="dxa" w:w="31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指标</w:t>
            </w:r>
          </w:p>
        </w:tc>
        <w:tc>
          <w:tcPr>
            <w:tcW w:type="dxa" w:w="17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当前数值</w:t>
            </w:r>
          </w:p>
        </w:tc>
        <w:tc>
          <w:tcPr>
            <w:tcW w:type="dxa" w:w="526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说明</w:t>
            </w:r>
          </w:p>
        </w:tc>
      </w:tr>
      <w:tr>
        <w:tc>
          <w:tcPr>
            <w:tcW w:type="dxa" w:w="31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variant_or_homophone_normalized</w:t>
            </w:r>
          </w:p>
        </w:tc>
        <w:tc>
          <w:tcPr>
            <w:tcW w:type="dxa" w:w="17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208</w:t>
            </w:r>
          </w:p>
        </w:tc>
        <w:tc>
          <w:tcPr>
            <w:tcW w:type="dxa" w:w="52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谐音、变体归一化信号</w:t>
            </w:r>
          </w:p>
        </w:tc>
      </w:tr>
      <w:tr>
        <w:tc>
          <w:tcPr>
            <w:tcW w:type="dxa" w:w="31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emoji_marker</w:t>
            </w:r>
          </w:p>
        </w:tc>
        <w:tc>
          <w:tcPr>
            <w:tcW w:type="dxa" w:w="170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186</w:t>
            </w:r>
          </w:p>
        </w:tc>
        <w:tc>
          <w:tcPr>
            <w:tcW w:type="dxa" w:w="526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表情符号风险标记</w:t>
            </w:r>
          </w:p>
        </w:tc>
      </w:tr>
      <w:tr>
        <w:tc>
          <w:tcPr>
            <w:tcW w:type="dxa" w:w="31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multimodal_text</w:t>
            </w:r>
          </w:p>
        </w:tc>
        <w:tc>
          <w:tcPr>
            <w:tcW w:type="dxa" w:w="17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29</w:t>
            </w:r>
          </w:p>
        </w:tc>
        <w:tc>
          <w:tcPr>
            <w:tcW w:type="dxa" w:w="52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图片/海报/caption 等文本物化</w:t>
            </w:r>
          </w:p>
        </w:tc>
      </w:tr>
      <w:tr>
        <w:tc>
          <w:tcPr>
            <w:tcW w:type="dxa" w:w="31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OCR hardset entity F1</w:t>
            </w:r>
          </w:p>
        </w:tc>
        <w:tc>
          <w:tcPr>
            <w:tcW w:type="dxa" w:w="170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0.4314</w:t>
            </w:r>
          </w:p>
        </w:tc>
        <w:tc>
          <w:tcPr>
            <w:tcW w:type="dxa" w:w="526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主动暴露图片文字实体抽取短板</w:t>
            </w:r>
          </w:p>
        </w:tc>
      </w:tr>
    </w:tbl>
    <w:p>
      <w:pPr>
        <w:spacing w:after="120" w:before="0" w:line="300"/>
      </w:pPr>
      <w:r>
        <w:rPr>
          <w:rFonts w:ascii="Microsoft YaHei" w:cs="Microsoft YaHei" w:eastAsia="Microsoft YaHei" w:hAnsi="Microsoft YaHei"/>
          <w:color w:val="1F2937"/>
          <w:sz w:val="22"/>
          <w:szCs w:val="22"/>
        </w:rPr>
        <w:t xml:space="preserve">结论：黑话与隐蔽表达已有规则/归一化工程链路；图片文字已进入输入合同，但生产级 OCR 实体抽取仍是当前最明确短板。</w:t>
      </w:r>
    </w:p>
    <w:p>
      <w:pPr>
        <w:pStyle w:val="Heading2"/>
        <w:keepNext/>
        <w:spacing w:after="120" w:before="220" w:line="300"/>
      </w:pPr>
      <w:r>
        <w:rPr>
          <w:rFonts w:ascii="Microsoft YaHei" w:cs="Microsoft YaHei" w:eastAsia="Microsoft YaHei" w:hAnsi="Microsoft YaHei"/>
          <w:b/>
          <w:bCs/>
          <w:color w:val="2E74B5"/>
          <w:sz w:val="26"/>
          <w:szCs w:val="26"/>
        </w:rPr>
        <w:t xml:space="preserve">3.3 效果 / 成本 / 时延三角平衡</w:t>
      </w:r>
    </w:p>
    <w:p>
      <w:pPr>
        <w:spacing w:after="120" w:before="0" w:line="300"/>
      </w:pPr>
      <w:r>
        <w:rPr>
          <w:rFonts w:ascii="Microsoft YaHei" w:cs="Microsoft YaHei" w:eastAsia="Microsoft YaHei" w:hAnsi="Microsoft YaHei"/>
          <w:color w:val="1F2937"/>
          <w:sz w:val="22"/>
          <w:szCs w:val="22"/>
        </w:rPr>
        <w:t xml:space="preserve">当前系统采用规则优先、LLM 选择性介入的策略：简单 query 先走 deterministic parser 和本地规则；复杂 query、live source planning、clue refine 才按 routing profile 和 budget controller 触发 LLM。</w:t>
      </w:r>
    </w:p>
    <w:tbl>
      <w:tblPr>
        <w:tblW w:type="dxa" w:w="9360"/>
        <w:tblBorders>
          <w:top w:val="single" w:color="B8C5D6" w:sz="1"/>
          <w:left w:val="single" w:color="B8C5D6" w:sz="1"/>
          <w:bottom w:val="single" w:color="B8C5D6" w:sz="1"/>
          <w:right w:val="single" w:color="B8C5D6" w:sz="1"/>
          <w:insideH w:val="single" w:color="B8C5D6" w:sz="1"/>
          <w:insideV w:val="single" w:color="B8C5D6" w:sz="1"/>
        </w:tblBorders>
        <w:tblLayout w:type="fixed"/>
      </w:tblPr>
      <w:tblGrid>
        <w:gridCol w:w="3100"/>
        <w:gridCol w:w="1600"/>
        <w:gridCol w:w="5360"/>
      </w:tblGrid>
      <w:tr>
        <w:trPr>
          <w:tblHeader/>
        </w:trPr>
        <w:tc>
          <w:tcPr>
            <w:tcW w:type="dxa" w:w="31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证据</w:t>
            </w:r>
          </w:p>
        </w:tc>
        <w:tc>
          <w:tcPr>
            <w:tcW w:type="dxa" w:w="16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数值</w:t>
            </w:r>
          </w:p>
        </w:tc>
        <w:tc>
          <w:tcPr>
            <w:tcW w:type="dxa" w:w="536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验收含义</w:t>
            </w:r>
          </w:p>
        </w:tc>
      </w:tr>
      <w:tr>
        <w:tc>
          <w:tcPr>
            <w:tcW w:type="dxa" w:w="31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主评测 classification_f1</w:t>
            </w:r>
          </w:p>
        </w:tc>
        <w:tc>
          <w:tcPr>
            <w:tcW w:type="dxa" w:w="16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1.000</w:t>
            </w:r>
          </w:p>
        </w:tc>
        <w:tc>
          <w:tcPr>
            <w:tcW w:type="dxa" w:w="53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规则优先链路已能覆盖主要分类样本</w:t>
            </w:r>
          </w:p>
        </w:tc>
      </w:tr>
      <w:tr>
        <w:tc>
          <w:tcPr>
            <w:tcW w:type="dxa" w:w="31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主评测 entity_f1</w:t>
            </w:r>
          </w:p>
        </w:tc>
        <w:tc>
          <w:tcPr>
            <w:tcW w:type="dxa" w:w="160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0.9655</w:t>
            </w:r>
          </w:p>
        </w:tc>
        <w:tc>
          <w:tcPr>
            <w:tcW w:type="dxa" w:w="536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结构化抽取在文本样本上表现稳定</w:t>
            </w:r>
          </w:p>
        </w:tc>
      </w:tr>
      <w:tr>
        <w:tc>
          <w:tcPr>
            <w:tcW w:type="dxa" w:w="31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offline llm_calls_per_1000_records</w:t>
            </w:r>
          </w:p>
        </w:tc>
        <w:tc>
          <w:tcPr>
            <w:tcW w:type="dxa" w:w="16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0.0</w:t>
            </w:r>
          </w:p>
        </w:tc>
        <w:tc>
          <w:tcPr>
            <w:tcW w:type="dxa" w:w="53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默认不逐条调用大模型，控制成本</w:t>
            </w:r>
          </w:p>
        </w:tc>
      </w:tr>
      <w:tr>
        <w:tc>
          <w:tcPr>
            <w:tcW w:type="dxa" w:w="31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record enrich 额外调用</w:t>
            </w:r>
          </w:p>
        </w:tc>
        <w:tc>
          <w:tcPr>
            <w:tcW w:type="dxa" w:w="16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+145</w:t>
            </w:r>
          </w:p>
        </w:tc>
        <w:tc>
          <w:tcPr>
            <w:tcW w:type="dxa" w:w="536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消融显示增加成本但未带来质量增益</w:t>
            </w:r>
          </w:p>
        </w:tc>
      </w:tr>
      <w:tr>
        <w:tc>
          <w:tcPr>
            <w:tcW w:type="dxa" w:w="31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record_enrich_policy</w:t>
            </w:r>
          </w:p>
        </w:tc>
        <w:tc>
          <w:tcPr>
            <w:tcW w:type="dxa" w:w="16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conflict_only</w:t>
            </w:r>
          </w:p>
        </w:tc>
        <w:tc>
          <w:tcPr>
            <w:tcW w:type="dxa" w:w="53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仅在冲突/高价值场景触发</w:t>
            </w:r>
          </w:p>
        </w:tc>
      </w:tr>
    </w:tbl>
    <w:p>
      <w:pPr>
        <w:pStyle w:val="Heading1"/>
        <w:keepNext/>
        <w:spacing w:after="160" w:before="300" w:line="300"/>
      </w:pPr>
      <w:r>
        <w:rPr>
          <w:rFonts w:ascii="Microsoft YaHei" w:cs="Microsoft YaHei" w:eastAsia="Microsoft YaHei" w:hAnsi="Microsoft YaHei"/>
          <w:b/>
          <w:bCs/>
          <w:color w:val="2E74B5"/>
          <w:sz w:val="32"/>
          <w:szCs w:val="32"/>
        </w:rPr>
        <w:t xml:space="preserve">4. 线索质量与可复核证据链</w:t>
      </w:r>
    </w:p>
    <w:p>
      <w:pPr>
        <w:spacing w:after="120" w:before="0" w:line="300"/>
      </w:pPr>
      <w:r>
        <w:rPr>
          <w:rFonts w:ascii="Microsoft YaHei" w:cs="Microsoft YaHei" w:eastAsia="Microsoft YaHei" w:hAnsi="Microsoft YaHei"/>
          <w:color w:val="1F2937"/>
          <w:sz w:val="22"/>
          <w:szCs w:val="22"/>
        </w:rPr>
        <w:t xml:space="preserve">课题答辩关注的不是单条实体数量，而是端到端输出和线索质量。当前仓库已经把实体抽取后的结果接入实体图谱、候选线索、actionable clue 晋升、作弊剧本和证据链渲染。</w:t>
      </w:r>
    </w:p>
    <w:tbl>
      <w:tblPr>
        <w:tblW w:type="dxa" w:w="9360"/>
        <w:tblBorders>
          <w:top w:val="single" w:color="B8C5D6" w:sz="1"/>
          <w:left w:val="single" w:color="B8C5D6" w:sz="1"/>
          <w:bottom w:val="single" w:color="B8C5D6" w:sz="1"/>
          <w:right w:val="single" w:color="B8C5D6" w:sz="1"/>
          <w:insideH w:val="single" w:color="B8C5D6" w:sz="1"/>
          <w:insideV w:val="single" w:color="B8C5D6" w:sz="1"/>
        </w:tblBorders>
        <w:tblLayout w:type="fixed"/>
      </w:tblPr>
      <w:tblGrid>
        <w:gridCol w:w="2200"/>
        <w:gridCol w:w="3300"/>
        <w:gridCol w:w="3860"/>
      </w:tblGrid>
      <w:tr>
        <w:trPr>
          <w:tblHeader/>
        </w:trPr>
        <w:tc>
          <w:tcPr>
            <w:tcW w:type="dxa" w:w="22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线索类型</w:t>
            </w:r>
          </w:p>
        </w:tc>
        <w:tc>
          <w:tcPr>
            <w:tcW w:type="dxa" w:w="33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晋升条件</w:t>
            </w:r>
          </w:p>
        </w:tc>
        <w:tc>
          <w:tcPr>
            <w:tcW w:type="dxa" w:w="386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价值</w:t>
            </w:r>
          </w:p>
        </w:tc>
      </w:tr>
      <w:tr>
        <w:tc>
          <w:tcPr>
            <w:tcW w:type="dxa" w:w="22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共享联系方式</w:t>
            </w:r>
          </w:p>
        </w:tc>
        <w:tc>
          <w:tcPr>
            <w:tcW w:type="dxa" w:w="33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48 小时内同 contact 至少出现 3 次</w:t>
            </w:r>
          </w:p>
        </w:tc>
        <w:tc>
          <w:tcPr>
            <w:tcW w:type="dxa" w:w="38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识别跨记录复用联系方式</w:t>
            </w:r>
          </w:p>
        </w:tc>
      </w:tr>
      <w:tr>
        <w:tc>
          <w:tcPr>
            <w:tcW w:type="dxa" w:w="22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共享域名</w:t>
            </w:r>
          </w:p>
        </w:tc>
        <w:tc>
          <w:tcPr>
            <w:tcW w:type="dxa" w:w="33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同 domain 来自至少 2 个 source</w:t>
            </w:r>
          </w:p>
        </w:tc>
        <w:tc>
          <w:tcPr>
            <w:tcW w:type="dxa" w:w="386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提升跨源可信度</w:t>
            </w:r>
          </w:p>
        </w:tc>
      </w:tr>
      <w:tr>
        <w:tc>
          <w:tcPr>
            <w:tcW w:type="dxa" w:w="22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重复模板</w:t>
            </w:r>
          </w:p>
        </w:tc>
        <w:tc>
          <w:tcPr>
            <w:tcW w:type="dxa" w:w="33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去重后同模板至少 3 次</w:t>
            </w:r>
          </w:p>
        </w:tc>
        <w:tc>
          <w:tcPr>
            <w:tcW w:type="dxa" w:w="38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识别批量化推广/招募话术</w:t>
            </w:r>
          </w:p>
        </w:tc>
      </w:tr>
    </w:tbl>
    <w:p>
      <w:pPr>
        <w:spacing w:after="120" w:before="0" w:line="300"/>
      </w:pPr>
      <w:r>
        <w:rPr>
          <w:rFonts w:ascii="Microsoft YaHei" w:cs="Microsoft YaHei" w:eastAsia="Microsoft YaHei" w:hAnsi="Microsoft YaHei"/>
          <w:color w:val="1F2937"/>
          <w:sz w:val="22"/>
          <w:szCs w:val="22"/>
        </w:rPr>
        <w:t xml:space="preserve">系统输出默认 review-only：CountermeasurePlanner 只生成复核建议，不自动封禁、不自动处置。弱线索进入 archived_weak_clues，避免召回阶段放大人工复核负担。</w:t>
      </w:r>
    </w:p>
    <w:p>
      <w:pPr>
        <w:pStyle w:val="Heading1"/>
        <w:keepNext/>
        <w:spacing w:after="160" w:before="300" w:line="300"/>
      </w:pPr>
      <w:r>
        <w:rPr>
          <w:rFonts w:ascii="Microsoft YaHei" w:cs="Microsoft YaHei" w:eastAsia="Microsoft YaHei" w:hAnsi="Microsoft YaHei"/>
          <w:b/>
          <w:bCs/>
          <w:color w:val="2E74B5"/>
          <w:sz w:val="32"/>
          <w:szCs w:val="32"/>
        </w:rPr>
        <w:t xml:space="preserve">5. 质量评测与边界</w:t>
      </w:r>
    </w:p>
    <w:tbl>
      <w:tblPr>
        <w:tblW w:type="dxa" w:w="9360"/>
        <w:tblBorders>
          <w:top w:val="single" w:color="B8C5D6" w:sz="1"/>
          <w:left w:val="single" w:color="B8C5D6" w:sz="1"/>
          <w:bottom w:val="single" w:color="B8C5D6" w:sz="1"/>
          <w:right w:val="single" w:color="B8C5D6" w:sz="1"/>
          <w:insideH w:val="single" w:color="B8C5D6" w:sz="1"/>
          <w:insideV w:val="single" w:color="B8C5D6" w:sz="1"/>
        </w:tblBorders>
        <w:tblLayout w:type="fixed"/>
      </w:tblPr>
      <w:tblGrid>
        <w:gridCol w:w="2100"/>
        <w:gridCol w:w="700"/>
        <w:gridCol w:w="1000"/>
        <w:gridCol w:w="1000"/>
        <w:gridCol w:w="1000"/>
        <w:gridCol w:w="1000"/>
        <w:gridCol w:w="1000"/>
        <w:gridCol w:w="760"/>
      </w:tblGrid>
      <w:tr>
        <w:trPr>
          <w:tblHeader/>
        </w:trPr>
        <w:tc>
          <w:tcPr>
            <w:tcW w:type="dxa" w:w="21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数据集</w:t>
            </w:r>
          </w:p>
        </w:tc>
        <w:tc>
          <w:tcPr>
            <w:tcW w:type="dxa" w:w="7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N</w:t>
            </w:r>
          </w:p>
        </w:tc>
        <w:tc>
          <w:tcPr>
            <w:tcW w:type="dxa" w:w="10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一级 F1</w:t>
            </w:r>
          </w:p>
        </w:tc>
        <w:tc>
          <w:tcPr>
            <w:tcW w:type="dxa" w:w="10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二级 F1</w:t>
            </w:r>
          </w:p>
        </w:tc>
        <w:tc>
          <w:tcPr>
            <w:tcW w:type="dxa" w:w="10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层级 F1</w:t>
            </w:r>
          </w:p>
        </w:tc>
        <w:tc>
          <w:tcPr>
            <w:tcW w:type="dxa" w:w="10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实体 F1</w:t>
            </w:r>
          </w:p>
        </w:tc>
        <w:tc>
          <w:tcPr>
            <w:tcW w:type="dxa" w:w="10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线索 F1</w:t>
            </w:r>
          </w:p>
        </w:tc>
        <w:tc>
          <w:tcPr>
            <w:tcW w:type="dxa" w:w="76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复核/100</w:t>
            </w:r>
          </w:p>
        </w:tc>
      </w:tr>
      <w:tr>
        <w:tc>
          <w:tcPr>
            <w:tcW w:type="dxa" w:w="21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主评测集</w:t>
            </w:r>
          </w:p>
        </w:tc>
        <w:tc>
          <w:tcPr>
            <w:tcW w:type="dxa" w:w="7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100</w:t>
            </w:r>
          </w:p>
        </w:tc>
        <w:tc>
          <w:tcPr>
            <w:tcW w:type="dxa" w:w="10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1.000</w:t>
            </w:r>
          </w:p>
        </w:tc>
        <w:tc>
          <w:tcPr>
            <w:tcW w:type="dxa" w:w="10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0.9524</w:t>
            </w:r>
          </w:p>
        </w:tc>
        <w:tc>
          <w:tcPr>
            <w:tcW w:type="dxa" w:w="10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1.000</w:t>
            </w:r>
          </w:p>
        </w:tc>
        <w:tc>
          <w:tcPr>
            <w:tcW w:type="dxa" w:w="10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0.9655</w:t>
            </w:r>
          </w:p>
        </w:tc>
        <w:tc>
          <w:tcPr>
            <w:tcW w:type="dxa" w:w="10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1.000</w:t>
            </w:r>
          </w:p>
        </w:tc>
        <w:tc>
          <w:tcPr>
            <w:tcW w:type="dxa" w:w="76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10.0</w:t>
            </w:r>
          </w:p>
        </w:tc>
      </w:tr>
      <w:tr>
        <w:tc>
          <w:tcPr>
            <w:tcW w:type="dxa" w:w="21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本地 held-out seed</w:t>
            </w:r>
          </w:p>
        </w:tc>
        <w:tc>
          <w:tcPr>
            <w:tcW w:type="dxa" w:w="70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59</w:t>
            </w:r>
          </w:p>
        </w:tc>
        <w:tc>
          <w:tcPr>
            <w:tcW w:type="dxa" w:w="100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1.000</w:t>
            </w:r>
          </w:p>
        </w:tc>
        <w:tc>
          <w:tcPr>
            <w:tcW w:type="dxa" w:w="100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1.000</w:t>
            </w:r>
          </w:p>
        </w:tc>
        <w:tc>
          <w:tcPr>
            <w:tcW w:type="dxa" w:w="100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1.000</w:t>
            </w:r>
          </w:p>
        </w:tc>
        <w:tc>
          <w:tcPr>
            <w:tcW w:type="dxa" w:w="100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0.9023</w:t>
            </w:r>
          </w:p>
        </w:tc>
        <w:tc>
          <w:tcPr>
            <w:tcW w:type="dxa" w:w="100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0.000</w:t>
            </w:r>
          </w:p>
        </w:tc>
        <w:tc>
          <w:tcPr>
            <w:tcW w:type="dxa" w:w="760"/>
            <w:shd w:fill="FFFFFF"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61.0</w:t>
            </w:r>
          </w:p>
        </w:tc>
      </w:tr>
      <w:tr>
        <w:tc>
          <w:tcPr>
            <w:tcW w:type="dxa" w:w="21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OCR image-text hardset</w:t>
            </w:r>
          </w:p>
        </w:tc>
        <w:tc>
          <w:tcPr>
            <w:tcW w:type="dxa" w:w="7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20</w:t>
            </w:r>
          </w:p>
        </w:tc>
        <w:tc>
          <w:tcPr>
            <w:tcW w:type="dxa" w:w="10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0.900</w:t>
            </w:r>
          </w:p>
        </w:tc>
        <w:tc>
          <w:tcPr>
            <w:tcW w:type="dxa" w:w="10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0.7368</w:t>
            </w:r>
          </w:p>
        </w:tc>
        <w:tc>
          <w:tcPr>
            <w:tcW w:type="dxa" w:w="10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0.700</w:t>
            </w:r>
          </w:p>
        </w:tc>
        <w:tc>
          <w:tcPr>
            <w:tcW w:type="dxa" w:w="10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0.4314</w:t>
            </w:r>
          </w:p>
        </w:tc>
        <w:tc>
          <w:tcPr>
            <w:tcW w:type="dxa" w:w="100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0.000</w:t>
            </w:r>
          </w:p>
        </w:tc>
        <w:tc>
          <w:tcPr>
            <w:tcW w:type="dxa" w:w="760"/>
            <w:shd w:fill="F7FAFC"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color w:val="1F2937"/>
                <w:sz w:val="18"/>
                <w:szCs w:val="18"/>
              </w:rPr>
              <w:t xml:space="preserve">40.0</w:t>
            </w:r>
          </w:p>
        </w:tc>
      </w:tr>
    </w:tbl>
    <w:p>
      <w:pPr>
        <w:pStyle w:val="Heading3"/>
        <w:keepNext/>
        <w:spacing w:after="90" w:before="160" w:line="300"/>
      </w:pPr>
      <w:r>
        <w:rPr>
          <w:rFonts w:ascii="Microsoft YaHei" w:cs="Microsoft YaHei" w:eastAsia="Microsoft YaHei" w:hAnsi="Microsoft YaHei"/>
          <w:b/>
          <w:bCs/>
          <w:color w:val="1F4D78"/>
          <w:sz w:val="23"/>
          <w:szCs w:val="23"/>
        </w:rPr>
        <w:t xml:space="preserve">需要明确的 claim boundary</w:t>
      </w:r>
    </w:p>
    <w:p>
      <w:pPr>
        <w:pStyle w:val="ListParagraph"/>
        <w:numPr>
          <w:ilvl w:val="0"/>
          <w:numId w:val="1"/>
        </w:numPr>
        <w:spacing w:after="80" w:before="0" w:line="300"/>
      </w:pPr>
      <w:r>
        <w:rPr>
          <w:rFonts w:ascii="Microsoft YaHei" w:cs="Microsoft YaHei" w:eastAsia="Microsoft YaHei" w:hAnsi="Microsoft YaHei"/>
          <w:color w:val="1F2937"/>
          <w:sz w:val="21"/>
          <w:szCs w:val="21"/>
        </w:rPr>
        <w:t xml:space="preserve">主评测和 held-out seed 是本地公开/授权语料验证，不等同于线上生产效果。</w:t>
      </w:r>
    </w:p>
    <w:p>
      <w:pPr>
        <w:pStyle w:val="ListParagraph"/>
        <w:numPr>
          <w:ilvl w:val="0"/>
          <w:numId w:val="1"/>
        </w:numPr>
        <w:spacing w:after="80" w:before="0" w:line="300"/>
      </w:pPr>
      <w:r>
        <w:rPr>
          <w:rFonts w:ascii="Microsoft YaHei" w:cs="Microsoft YaHei" w:eastAsia="Microsoft YaHei" w:hAnsi="Microsoft YaHei"/>
          <w:color w:val="1F2937"/>
          <w:sz w:val="21"/>
          <w:szCs w:val="21"/>
        </w:rPr>
        <w:t xml:space="preserve">manual_heldout_report.json 当前 confirmed_record_count=0，说明人工复核任务 CSV 已生成，但尚未形成最终人工金标。</w:t>
      </w:r>
    </w:p>
    <w:p>
      <w:pPr>
        <w:pStyle w:val="ListParagraph"/>
        <w:numPr>
          <w:ilvl w:val="0"/>
          <w:numId w:val="1"/>
        </w:numPr>
        <w:spacing w:after="80" w:before="0" w:line="300"/>
      </w:pPr>
      <w:r>
        <w:rPr>
          <w:rFonts w:ascii="Microsoft YaHei" w:cs="Microsoft YaHei" w:eastAsia="Microsoft YaHei" w:hAnsi="Microsoft YaHei"/>
          <w:color w:val="1F2937"/>
          <w:sz w:val="21"/>
          <w:szCs w:val="21"/>
        </w:rPr>
        <w:t xml:space="preserve">OCR hardset 是当前最弱项，尤其实体 F1=0.4314，不能把图片文字能力包装成生产级 OCR。</w:t>
      </w:r>
    </w:p>
    <w:p>
      <w:pPr>
        <w:pStyle w:val="ListParagraph"/>
        <w:numPr>
          <w:ilvl w:val="0"/>
          <w:numId w:val="1"/>
        </w:numPr>
        <w:spacing w:after="80" w:before="0" w:line="300"/>
      </w:pPr>
      <w:r>
        <w:rPr>
          <w:rFonts w:ascii="Microsoft YaHei" w:cs="Microsoft YaHei" w:eastAsia="Microsoft YaHei" w:hAnsi="Microsoft YaHei"/>
          <w:color w:val="1F2937"/>
          <w:sz w:val="21"/>
          <w:szCs w:val="21"/>
        </w:rPr>
        <w:t xml:space="preserve">dry-run、loopback 和小规模 live smoke 是 regression / compliance evidence，不等同于广泛外部平台覆盖证明。</w:t>
      </w:r>
    </w:p>
    <w:p>
      <w:pPr>
        <w:pStyle w:val="Heading1"/>
        <w:keepNext/>
        <w:spacing w:after="160" w:before="300" w:line="300"/>
      </w:pPr>
      <w:r>
        <w:rPr>
          <w:rFonts w:ascii="Microsoft YaHei" w:cs="Microsoft YaHei" w:eastAsia="Microsoft YaHei" w:hAnsi="Microsoft YaHei"/>
          <w:b/>
          <w:bCs/>
          <w:color w:val="2E74B5"/>
          <w:sz w:val="32"/>
          <w:szCs w:val="32"/>
        </w:rPr>
        <w:t xml:space="preserve">6. 安全合规与运行边界</w:t>
      </w:r>
    </w:p>
    <w:tbl>
      <w:tblPr>
        <w:tblW w:type="dxa" w:w="9360"/>
        <w:tblBorders>
          <w:top w:val="single" w:color="B8C5D6" w:sz="1"/>
          <w:left w:val="single" w:color="B8C5D6" w:sz="1"/>
          <w:bottom w:val="single" w:color="B8C5D6" w:sz="1"/>
          <w:right w:val="single" w:color="B8C5D6" w:sz="1"/>
          <w:insideH w:val="single" w:color="B8C5D6" w:sz="1"/>
          <w:insideV w:val="single" w:color="B8C5D6" w:sz="1"/>
        </w:tblBorders>
        <w:tblLayout w:type="fixed"/>
      </w:tblPr>
      <w:tblGrid>
        <w:gridCol w:w="2800"/>
        <w:gridCol w:w="6560"/>
      </w:tblGrid>
      <w:tr>
        <w:trPr>
          <w:tblHeader/>
        </w:trPr>
        <w:tc>
          <w:tcPr>
            <w:tcW w:type="dxa" w:w="28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已落地控制</w:t>
            </w:r>
          </w:p>
        </w:tc>
        <w:tc>
          <w:tcPr>
            <w:tcW w:type="dxa" w:w="656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说明</w:t>
            </w:r>
          </w:p>
        </w:tc>
      </w:tr>
      <w:tr>
        <w:tc>
          <w:tcPr>
            <w:tcW w:type="dxa" w:w="28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默认不联网</w:t>
            </w:r>
          </w:p>
        </w:tc>
        <w:tc>
          <w:tcPr>
            <w:tcW w:type="dxa" w:w="65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network.enabled=false；live collection 必须显式 --network-enabled</w:t>
            </w:r>
          </w:p>
        </w:tc>
      </w:tr>
      <w:tr>
        <w:tc>
          <w:tcPr>
            <w:tcW w:type="dxa" w:w="28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授权域名与法律依据</w:t>
            </w:r>
          </w:p>
        </w:tc>
        <w:tc>
          <w:tcPr>
            <w:tcW w:type="dxa" w:w="656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HTTPFeedCollector 要求 allowed domains 和 authorized legal basis</w:t>
            </w:r>
          </w:p>
        </w:tc>
      </w:tr>
      <w:tr>
        <w:tc>
          <w:tcPr>
            <w:tcW w:type="dxa" w:w="28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PolicyGuard</w:t>
            </w:r>
          </w:p>
        </w:tc>
        <w:tc>
          <w:tcPr>
            <w:tcW w:type="dxa" w:w="65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阻断正式写入、未授权采集扩张、PII 外发和绕过限制</w:t>
            </w:r>
          </w:p>
        </w:tc>
      </w:tr>
      <w:tr>
        <w:tc>
          <w:tcPr>
            <w:tcW w:type="dxa" w:w="28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provenance bucket</w:t>
            </w:r>
          </w:p>
        </w:tc>
        <w:tc>
          <w:tcPr>
            <w:tcW w:type="dxa" w:w="656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当前交付语料 source_access_type 为 public_compliant=4163</w:t>
            </w:r>
          </w:p>
        </w:tc>
      </w:tr>
      <w:tr>
        <w:tc>
          <w:tcPr>
            <w:tcW w:type="dxa" w:w="28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review-only</w:t>
            </w:r>
          </w:p>
        </w:tc>
        <w:tc>
          <w:tcPr>
            <w:tcW w:type="dxa" w:w="65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对抗建议默认只用于业务复核，不触发线上处置</w:t>
            </w:r>
          </w:p>
        </w:tc>
      </w:tr>
    </w:tbl>
    <w:p>
      <w:pPr>
        <w:spacing w:after="120" w:before="0" w:line="300"/>
      </w:pPr>
      <w:r>
        <w:rPr>
          <w:rFonts w:ascii="Microsoft YaHei" w:cs="Microsoft YaHei" w:eastAsia="Microsoft YaHei" w:hAnsi="Microsoft YaHei"/>
          <w:color w:val="1F2937"/>
          <w:sz w:val="22"/>
          <w:szCs w:val="22"/>
        </w:rPr>
        <w:t xml:space="preserve">运行边界：当前不是完整 FastAPI / 多租户生产服务；scripts/serve_demo_api.py 是本机答辩 demo/API/UI。不宣称覆盖私群、登录后页面、验证码页面或 robots/terms 不明确页面。不把本地 smoke、loopback、seeded split 说成线上效果。</w:t>
      </w:r>
    </w:p>
    <w:p>
      <w:pPr>
        <w:pStyle w:val="Heading1"/>
        <w:keepNext/>
        <w:spacing w:after="160" w:before="300" w:line="300"/>
      </w:pPr>
      <w:r>
        <w:rPr>
          <w:rFonts w:ascii="Microsoft YaHei" w:cs="Microsoft YaHei" w:eastAsia="Microsoft YaHei" w:hAnsi="Microsoft YaHei"/>
          <w:b/>
          <w:bCs/>
          <w:color w:val="2E74B5"/>
          <w:sz w:val="32"/>
          <w:szCs w:val="32"/>
        </w:rPr>
        <w:t xml:space="preserve">7. 建议验收演示路径</w:t>
      </w:r>
    </w:p>
    <w:p>
      <w:pPr>
        <w:spacing w:after="120" w:before="0" w:line="300"/>
      </w:pPr>
      <w:r>
        <w:rPr>
          <w:rFonts w:ascii="Microsoft YaHei" w:cs="Microsoft YaHei" w:eastAsia="Microsoft YaHei" w:hAnsi="Microsoft YaHei"/>
          <w:color w:val="1F2937"/>
          <w:sz w:val="22"/>
          <w:szCs w:val="22"/>
        </w:rPr>
        <w:t xml:space="preserve">建议现场演示按“可运行入口 -&gt; 阶段产物 -&gt; 线索证据 -&gt; 评测边界”顺序。若时间有限，优先演示 CLI demo 和 oneshot demo API，再用 JSON 报告解释四阶段产物和质量边界。</w:t>
      </w:r>
    </w:p>
    <w:p>
      <w:pPr>
        <w:spacing w:after="80" w:before="0" w:line="300"/>
      </w:pPr>
      <w:r>
        <w:rPr>
          <w:rFonts w:ascii="Microsoft YaHei" w:cs="Microsoft YaHei" w:eastAsia="Microsoft YaHei" w:hAnsi="Microsoft YaHei"/>
          <w:color w:val="0F766E"/>
          <w:sz w:val="19"/>
          <w:szCs w:val="19"/>
        </w:rPr>
        <w:t xml:space="preserve">python scripts/run_agent_cli.py --demo-sample --show clues</w:t>
      </w:r>
    </w:p>
    <w:p>
      <w:pPr>
        <w:spacing w:after="80" w:before="0" w:line="300"/>
      </w:pPr>
      <w:r>
        <w:rPr>
          <w:rFonts w:ascii="Microsoft YaHei" w:cs="Microsoft YaHei" w:eastAsia="Microsoft YaHei" w:hAnsi="Microsoft YaHei"/>
          <w:color w:val="0F766E"/>
          <w:sz w:val="19"/>
          <w:szCs w:val="19"/>
        </w:rPr>
        <w:t xml:space="preserve">python scripts/serve_demo_api.py --oneshot-output data/demo_api_report.json</w:t>
      </w:r>
    </w:p>
    <w:p>
      <w:pPr>
        <w:spacing w:after="80" w:before="0" w:line="300"/>
      </w:pPr>
      <w:r>
        <w:rPr>
          <w:rFonts w:ascii="Microsoft YaHei" w:cs="Microsoft YaHei" w:eastAsia="Microsoft YaHei" w:hAnsi="Microsoft YaHei"/>
          <w:color w:val="0F766E"/>
          <w:sz w:val="19"/>
          <w:szCs w:val="19"/>
        </w:rPr>
        <w:t xml:space="preserve">python scripts/export_delivery_corpora.py</w:t>
      </w:r>
    </w:p>
    <w:p>
      <w:pPr>
        <w:spacing w:after="80" w:before="0" w:line="300"/>
      </w:pPr>
      <w:r>
        <w:rPr>
          <w:rFonts w:ascii="Microsoft YaHei" w:cs="Microsoft YaHei" w:eastAsia="Microsoft YaHei" w:hAnsi="Microsoft YaHei"/>
          <w:color w:val="0F766E"/>
          <w:sz w:val="19"/>
          <w:szCs w:val="19"/>
        </w:rPr>
        <w:t xml:space="preserve">python scripts/run_cleaning_phase.py</w:t>
      </w:r>
    </w:p>
    <w:p>
      <w:pPr>
        <w:spacing w:after="80" w:before="0" w:line="300"/>
      </w:pPr>
      <w:r>
        <w:rPr>
          <w:rFonts w:ascii="Microsoft YaHei" w:cs="Microsoft YaHei" w:eastAsia="Microsoft YaHei" w:hAnsi="Microsoft YaHei"/>
          <w:color w:val="0F766E"/>
          <w:sz w:val="19"/>
          <w:szCs w:val="19"/>
        </w:rPr>
        <w:t xml:space="preserve">python scripts/run_classification_extraction_phase.py --source auto</w:t>
      </w:r>
    </w:p>
    <w:p>
      <w:pPr>
        <w:spacing w:after="80" w:before="0" w:line="300"/>
      </w:pPr>
      <w:r>
        <w:rPr>
          <w:rFonts w:ascii="Microsoft YaHei" w:cs="Microsoft YaHei" w:eastAsia="Microsoft YaHei" w:hAnsi="Microsoft YaHei"/>
          <w:color w:val="0F766E"/>
          <w:sz w:val="19"/>
          <w:szCs w:val="19"/>
        </w:rPr>
        <w:t xml:space="preserve">python -m pytest -q</w:t>
      </w:r>
    </w:p>
    <w:p>
      <w:pPr>
        <w:pStyle w:val="Heading1"/>
        <w:keepNext/>
        <w:spacing w:after="160" w:before="300" w:line="300"/>
      </w:pPr>
      <w:r>
        <w:rPr>
          <w:rFonts w:ascii="Microsoft YaHei" w:cs="Microsoft YaHei" w:eastAsia="Microsoft YaHei" w:hAnsi="Microsoft YaHei"/>
          <w:b/>
          <w:bCs/>
          <w:color w:val="2E74B5"/>
          <w:sz w:val="32"/>
          <w:szCs w:val="32"/>
        </w:rPr>
        <w:t xml:space="preserve">8. 后续优化优先级</w:t>
      </w:r>
    </w:p>
    <w:tbl>
      <w:tblPr>
        <w:tblW w:type="dxa" w:w="9360"/>
        <w:tblBorders>
          <w:top w:val="single" w:color="B8C5D6" w:sz="1"/>
          <w:left w:val="single" w:color="B8C5D6" w:sz="1"/>
          <w:bottom w:val="single" w:color="B8C5D6" w:sz="1"/>
          <w:right w:val="single" w:color="B8C5D6" w:sz="1"/>
          <w:insideH w:val="single" w:color="B8C5D6" w:sz="1"/>
          <w:insideV w:val="single" w:color="B8C5D6" w:sz="1"/>
        </w:tblBorders>
        <w:tblLayout w:type="fixed"/>
      </w:tblPr>
      <w:tblGrid>
        <w:gridCol w:w="1000"/>
        <w:gridCol w:w="2200"/>
        <w:gridCol w:w="6160"/>
      </w:tblGrid>
      <w:tr>
        <w:trPr>
          <w:tblHeader/>
        </w:trPr>
        <w:tc>
          <w:tcPr>
            <w:tcW w:type="dxa" w:w="10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优先级</w:t>
            </w:r>
          </w:p>
        </w:tc>
        <w:tc>
          <w:tcPr>
            <w:tcW w:type="dxa" w:w="220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优化项</w:t>
            </w:r>
          </w:p>
        </w:tc>
        <w:tc>
          <w:tcPr>
            <w:tcW w:type="dxa" w:w="6160"/>
            <w:shd w:fill="D9EAF7" w:val="clear"/>
            <w:tcMar>
              <w:top w:type="dxa" w:w="100"/>
              <w:left w:type="dxa" w:w="120"/>
              <w:bottom w:type="dxa" w:w="100"/>
              <w:right w:type="dxa" w:w="120"/>
            </w:tcMar>
          </w:tcPr>
          <w:p>
            <w:pPr>
              <w:spacing w:after="0" w:before="0" w:line="300"/>
              <w:jc w:val="center"/>
            </w:pPr>
            <w:r>
              <w:rPr>
                <w:rFonts w:ascii="Microsoft YaHei" w:cs="Microsoft YaHei" w:eastAsia="Microsoft YaHei" w:hAnsi="Microsoft YaHei"/>
                <w:b/>
                <w:bCs/>
                <w:color w:val="0B2545"/>
                <w:sz w:val="18"/>
                <w:szCs w:val="18"/>
              </w:rPr>
              <w:t xml:space="preserve">目标</w:t>
            </w:r>
          </w:p>
        </w:tc>
      </w:tr>
      <w:tr>
        <w:tc>
          <w:tcPr>
            <w:tcW w:type="dxa" w:w="10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P0</w:t>
            </w:r>
          </w:p>
        </w:tc>
        <w:tc>
          <w:tcPr>
            <w:tcW w:type="dxa" w:w="22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人工金标闭环</w:t>
            </w:r>
          </w:p>
        </w:tc>
        <w:tc>
          <w:tcPr>
            <w:tcW w:type="dxa" w:w="61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完成 59 条 held-out 人工确认，补充 clue graph gold 与冲突仲裁字段</w:t>
            </w:r>
          </w:p>
        </w:tc>
      </w:tr>
      <w:tr>
        <w:tc>
          <w:tcPr>
            <w:tcW w:type="dxa" w:w="10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P0</w:t>
            </w:r>
          </w:p>
        </w:tc>
        <w:tc>
          <w:tcPr>
            <w:tcW w:type="dxa" w:w="22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source 结构均衡</w:t>
            </w:r>
          </w:p>
        </w:tc>
        <w:tc>
          <w:tcPr>
            <w:tcW w:type="dxa" w:w="616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增加 social/forum、vertical/technical 授权源，降低 Telegram/IM 集中度</w:t>
            </w:r>
          </w:p>
        </w:tc>
      </w:tr>
      <w:tr>
        <w:tc>
          <w:tcPr>
            <w:tcW w:type="dxa" w:w="10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P1</w:t>
            </w:r>
          </w:p>
        </w:tc>
        <w:tc>
          <w:tcPr>
            <w:tcW w:type="dxa" w:w="22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OCR / 图片文字</w:t>
            </w:r>
          </w:p>
        </w:tc>
        <w:tc>
          <w:tcPr>
            <w:tcW w:type="dxa" w:w="61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注入更强 OCR engine，围绕 image-text hardset 提升实体抽取 F1</w:t>
            </w:r>
          </w:p>
        </w:tc>
      </w:tr>
      <w:tr>
        <w:tc>
          <w:tcPr>
            <w:tcW w:type="dxa" w:w="10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P1</w:t>
            </w:r>
          </w:p>
        </w:tc>
        <w:tc>
          <w:tcPr>
            <w:tcW w:type="dxa" w:w="220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复核负载治理</w:t>
            </w:r>
          </w:p>
        </w:tc>
        <w:tc>
          <w:tcPr>
            <w:tcW w:type="dxa" w:w="6160"/>
            <w:shd w:fill="FFFFFF"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对待研判和高 review_required 场景做规则拆分与主动学习样本回流</w:t>
            </w:r>
          </w:p>
        </w:tc>
      </w:tr>
      <w:tr>
        <w:tc>
          <w:tcPr>
            <w:tcW w:type="dxa" w:w="10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P2</w:t>
            </w:r>
          </w:p>
        </w:tc>
        <w:tc>
          <w:tcPr>
            <w:tcW w:type="dxa" w:w="220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演示与运维面</w:t>
            </w:r>
          </w:p>
        </w:tc>
        <w:tc>
          <w:tcPr>
            <w:tcW w:type="dxa" w:w="6160"/>
            <w:shd w:fill="F7FAFC" w:val="clear"/>
            <w:tcMar>
              <w:top w:type="dxa" w:w="100"/>
              <w:left w:type="dxa" w:w="120"/>
              <w:bottom w:type="dxa" w:w="100"/>
              <w:right w:type="dxa" w:w="120"/>
            </w:tcMar>
          </w:tcPr>
          <w:p>
            <w:pPr>
              <w:spacing w:after="0" w:before="0" w:line="300"/>
            </w:pPr>
            <w:r>
              <w:rPr>
                <w:rFonts w:ascii="Microsoft YaHei" w:cs="Microsoft YaHei" w:eastAsia="Microsoft YaHei" w:hAnsi="Microsoft YaHei"/>
                <w:color w:val="1F2937"/>
                <w:sz w:val="18"/>
                <w:szCs w:val="18"/>
              </w:rPr>
              <w:t xml:space="preserve">把 ops_dashboard JSON 包成本机 dashboard，保留 CLI/runtime 为主入口</w:t>
            </w:r>
          </w:p>
        </w:tc>
      </w:tr>
    </w:tbl>
    <w:tbl>
      <w:tblPr>
        <w:tblW w:type="dxa" w:w="9360"/>
        <w:tblBorders>
          <w:top w:val="single" w:color="0F766E" w:sz="1"/>
          <w:left w:val="single" w:color="0F766E" w:sz="1"/>
          <w:bottom w:val="single" w:color="0F766E" w:sz="1"/>
          <w:right w:val="single" w:color="0F766E" w:sz="1"/>
          <w:insideH w:val="single" w:color="B8C5D6" w:sz="1"/>
          <w:insideV w:val="single" w:color="B8C5D6" w:sz="1"/>
        </w:tblBorders>
        <w:tblLayout w:type="fixed"/>
        <w:tblCellMar>
          <w:top w:type="dxa" w:w="120"/>
          <w:left w:type="dxa" w:w="160"/>
          <w:bottom w:type="dxa" w:w="120"/>
          <w:right w:type="dxa" w:w="160"/>
        </w:tblCellMar>
      </w:tblPr>
      <w:tblGrid>
        <w:gridCol w:w="9360"/>
      </w:tblGrid>
      <w:tr>
        <w:tc>
          <w:tcPr>
            <w:shd w:fill="F8FAFC" w:val="clear"/>
          </w:tcPr>
          <w:p>
            <w:pPr>
              <w:spacing w:after="80" w:before="0" w:line="300"/>
            </w:pPr>
            <w:r>
              <w:rPr>
                <w:rFonts w:ascii="Microsoft YaHei" w:cs="Microsoft YaHei" w:eastAsia="Microsoft YaHei" w:hAnsi="Microsoft YaHei"/>
                <w:b/>
                <w:bCs/>
                <w:color w:val="0F766E"/>
                <w:sz w:val="23"/>
                <w:szCs w:val="23"/>
              </w:rPr>
              <w:t xml:space="preserve">最终结论</w:t>
            </w:r>
          </w:p>
          <w:p>
            <w:pPr>
              <w:spacing w:after="0" w:before="0" w:line="300"/>
            </w:pPr>
            <w:r>
              <w:rPr>
                <w:rFonts w:ascii="Microsoft YaHei" w:cs="Microsoft YaHei" w:eastAsia="Microsoft YaHei" w:hAnsi="Microsoft YaHei"/>
                <w:color w:val="1F2937"/>
                <w:sz w:val="21"/>
                <w:szCs w:val="21"/>
              </w:rPr>
              <w:t xml:space="preserve">BlackAgent 已经可以按课题要求完成端到端黑灰产情报处理。当前材料足以支撑“阶段目标达成”的答辩与验收；同时报告明确保留人工金标、OCR、source skew 和线上生产化边界，避免把 smoke test 或局部验证包装成生产效果。建议验收通过，进入下一阶段优化。</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Microsoft YaHei" w:cs="Microsoft YaHei" w:eastAsia="Microsoft YaHei" w:hAnsi="Microsoft YaHei"/>
        <w:color w:val="4B5563"/>
        <w:sz w:val="18"/>
        <w:szCs w:val="18"/>
      </w:rPr>
      <w:t xml:space="preserve">第 </w:t>
    </w:r>
    <w:r>
      <w:rPr>
        <w:rFonts w:ascii="Microsoft YaHei" w:cs="Microsoft YaHei" w:eastAsia="Microsoft YaHei" w:hAnsi="Microsoft YaHei"/>
        <w:color w:val="4B5563"/>
        <w:sz w:val="18"/>
        <w:szCs w:val="18"/>
      </w:rPr>
      <w:fldChar w:fldCharType="begin"/>
      <w:instrText xml:space="preserve">PAGE</w:instrText>
      <w:fldChar w:fldCharType="separate"/>
      <w:fldChar w:fldCharType="end"/>
    </w:r>
    <w:r>
      <w:rPr>
        <w:rFonts w:ascii="Microsoft YaHei" w:cs="Microsoft YaHei" w:eastAsia="Microsoft YaHei" w:hAnsi="Microsoft YaHei"/>
        <w:color w:val="4B5563"/>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00"/>
      <w:jc w:val="right"/>
    </w:pPr>
    <w:r>
      <w:rPr>
        <w:rFonts w:ascii="Microsoft YaHei" w:cs="Microsoft YaHei" w:eastAsia="Microsoft YaHei" w:hAnsi="Microsoft YaHei"/>
        <w:color w:val="4B5563"/>
        <w:sz w:val="18"/>
        <w:szCs w:val="18"/>
      </w:rPr>
      <w:t xml:space="preserve">BlackAgent 阶段验收报告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300"/>
    </w:pPr>
    <w:rPr>
      <w:rFonts w:ascii="Microsoft YaHei" w:cs="Microsoft YaHei" w:eastAsia="Microsoft YaHei" w:hAnsi="Microsoft YaHei"/>
      <w:color w:val="1F2937"/>
      <w:sz w:val="22"/>
      <w:szCs w:val="22"/>
    </w:rPr>
  </w:style>
  <w:style w:type="paragraph" w:styleId="Heading1">
    <w:name w:val="Heading 1"/>
    <w:basedOn w:val="Normal"/>
    <w:next w:val="Normal"/>
    <w:qFormat/>
    <w:pPr>
      <w:keepNext/>
      <w:spacing w:after="160" w:before="30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keepNext/>
      <w:spacing w:after="120" w:before="220"/>
    </w:pPr>
    <w:rPr>
      <w:rFonts w:ascii="Microsoft YaHei" w:cs="Microsoft YaHei" w:eastAsia="Microsoft YaHei" w:hAnsi="Microsoft YaHei"/>
      <w:b/>
      <w:bCs/>
      <w:color w:val="2E74B5"/>
      <w:sz w:val="26"/>
      <w:szCs w:val="26"/>
    </w:rPr>
  </w:style>
  <w:style w:type="paragraph" w:styleId="Heading3">
    <w:name w:val="Heading 3"/>
    <w:basedOn w:val="Normal"/>
    <w:next w:val="Normal"/>
    <w:qFormat/>
    <w:pPr>
      <w:keepNext/>
      <w:spacing w:after="90" w:before="160"/>
    </w:pPr>
    <w:rPr>
      <w:rFonts w:ascii="Microsoft YaHei" w:cs="Microsoft YaHei" w:eastAsia="Microsoft YaHei" w:hAnsi="Microsoft YaHei"/>
      <w:b/>
      <w:bCs/>
      <w:color w:val="1F4D7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BlackAgent 黑灰产情报分析 Agent 阶段验收报告</dc:title>
  <dc:creator>Codex</dc:creator>
  <dc:description>阶段目标、核心挑战、交付证据与边界说明</dc:description>
  <cp:lastModifiedBy>Un-named</cp:lastModifiedBy>
  <cp:revision>1</cp:revision>
  <dcterms:created xsi:type="dcterms:W3CDTF">2026-06-05T00:58:40.409Z</dcterms:created>
  <dcterms:modified xsi:type="dcterms:W3CDTF">2026-06-05T00:58:40.410Z</dcterms:modified>
</cp:coreProperties>
</file>

<file path=docProps/custom.xml><?xml version="1.0" encoding="utf-8"?>
<Properties xmlns="http://schemas.openxmlformats.org/officeDocument/2006/custom-properties" xmlns:vt="http://schemas.openxmlformats.org/officeDocument/2006/docPropsVTypes"/>
</file>