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B39F4" w14:textId="77777777" w:rsidR="00651855" w:rsidRDefault="00651855" w:rsidP="00651855">
      <w:pPr>
        <w:spacing w:after="0" w:line="240" w:lineRule="auto"/>
      </w:pPr>
      <w:r>
        <w:rPr>
          <w:noProof/>
        </w:rPr>
        <w:drawing>
          <wp:inline distT="0" distB="0" distL="0" distR="0" wp14:anchorId="6EBC60F3" wp14:editId="4BE04CE1">
            <wp:extent cx="5731510" cy="916940"/>
            <wp:effectExtent l="0" t="0" r="2540" b="0"/>
            <wp:docPr id="955956681" name="Picture 1" descr="A blue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56681" name="Picture 1" descr="A blue sign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916940"/>
                    </a:xfrm>
                    <a:prstGeom prst="rect">
                      <a:avLst/>
                    </a:prstGeom>
                  </pic:spPr>
                </pic:pic>
              </a:graphicData>
            </a:graphic>
          </wp:inline>
        </w:drawing>
      </w:r>
    </w:p>
    <w:p w14:paraId="212B3283" w14:textId="77777777" w:rsidR="00651855" w:rsidRDefault="00651855" w:rsidP="00651855">
      <w:pPr>
        <w:spacing w:after="0" w:line="240" w:lineRule="auto"/>
      </w:pPr>
    </w:p>
    <w:p w14:paraId="113DA283" w14:textId="77777777" w:rsidR="00651855" w:rsidRDefault="00651855" w:rsidP="00651855">
      <w:pPr>
        <w:spacing w:after="0" w:line="240" w:lineRule="auto"/>
      </w:pPr>
    </w:p>
    <w:p w14:paraId="28B58482" w14:textId="0504991D" w:rsidR="00651855" w:rsidRPr="00651855" w:rsidRDefault="00651855" w:rsidP="00651855">
      <w:pPr>
        <w:spacing w:after="0" w:line="240" w:lineRule="auto"/>
        <w:jc w:val="center"/>
        <w:rPr>
          <w:sz w:val="32"/>
          <w:szCs w:val="32"/>
        </w:rPr>
      </w:pPr>
      <w:r w:rsidRPr="00651855">
        <w:rPr>
          <w:sz w:val="32"/>
          <w:szCs w:val="32"/>
        </w:rPr>
        <w:t>Characterising Cocaine and Opioid poly drug use trends and drug related harms in Scotland 2015-2022</w:t>
      </w:r>
    </w:p>
    <w:p w14:paraId="07A9EF17" w14:textId="77777777" w:rsidR="00651855" w:rsidRPr="00A81BF2" w:rsidRDefault="00651855" w:rsidP="00651855">
      <w:pPr>
        <w:spacing w:after="0" w:line="240" w:lineRule="auto"/>
        <w:jc w:val="center"/>
        <w:rPr>
          <w:color w:val="FF0000"/>
        </w:rPr>
      </w:pPr>
    </w:p>
    <w:p w14:paraId="56A92ED7" w14:textId="1706ABCA" w:rsidR="00651855" w:rsidRPr="00A81BF2" w:rsidRDefault="00651855" w:rsidP="00651855">
      <w:pPr>
        <w:spacing w:after="0" w:line="240" w:lineRule="auto"/>
      </w:pPr>
      <w:r w:rsidRPr="00A81BF2">
        <w:t xml:space="preserve">Student number: </w:t>
      </w:r>
      <w:r w:rsidRPr="00651855">
        <w:t>2553055</w:t>
      </w:r>
    </w:p>
    <w:p w14:paraId="3376D01D" w14:textId="77777777" w:rsidR="00651855" w:rsidRDefault="00651855" w:rsidP="00651855">
      <w:pPr>
        <w:spacing w:after="0" w:line="240" w:lineRule="auto"/>
      </w:pPr>
    </w:p>
    <w:p w14:paraId="701AB27D" w14:textId="2D0F7CC5" w:rsidR="00651855" w:rsidRDefault="00651855" w:rsidP="00651855">
      <w:pPr>
        <w:spacing w:after="0" w:line="240" w:lineRule="auto"/>
      </w:pPr>
      <w:r>
        <w:t xml:space="preserve">Word count of the plan language summary: </w:t>
      </w:r>
      <w:r w:rsidRPr="00651855">
        <w:t>334</w:t>
      </w:r>
    </w:p>
    <w:p w14:paraId="4B3E49F7" w14:textId="77777777" w:rsidR="00651855" w:rsidRDefault="00651855" w:rsidP="00651855">
      <w:pPr>
        <w:spacing w:after="0" w:line="240" w:lineRule="auto"/>
      </w:pPr>
    </w:p>
    <w:p w14:paraId="2FA85994" w14:textId="2AD606BE" w:rsidR="00651855" w:rsidRDefault="00651855" w:rsidP="00651855">
      <w:pPr>
        <w:spacing w:after="0" w:line="240" w:lineRule="auto"/>
      </w:pPr>
      <w:r>
        <w:t>Word count of the abstract:</w:t>
      </w:r>
      <w:r w:rsidRPr="00651855">
        <w:t xml:space="preserve"> </w:t>
      </w:r>
      <w:r w:rsidRPr="00651855">
        <w:t>238</w:t>
      </w:r>
    </w:p>
    <w:p w14:paraId="68815C3A" w14:textId="77777777" w:rsidR="00651855" w:rsidRDefault="00651855" w:rsidP="00651855">
      <w:pPr>
        <w:spacing w:after="0" w:line="240" w:lineRule="auto"/>
      </w:pPr>
    </w:p>
    <w:p w14:paraId="45BC18A1" w14:textId="434E6243" w:rsidR="00651855" w:rsidRPr="00A81BF2" w:rsidRDefault="00651855" w:rsidP="00651855">
      <w:pPr>
        <w:spacing w:after="0" w:line="240" w:lineRule="auto"/>
      </w:pPr>
      <w:r w:rsidRPr="1B971C87">
        <w:t xml:space="preserve">Word count of main article: </w:t>
      </w:r>
      <w:r w:rsidR="00240B47" w:rsidRPr="00240B47">
        <w:t>2870</w:t>
      </w:r>
    </w:p>
    <w:p w14:paraId="5C09A01E" w14:textId="77777777" w:rsidR="00651855" w:rsidRDefault="00651855" w:rsidP="00651855">
      <w:pPr>
        <w:spacing w:after="0" w:line="240" w:lineRule="auto"/>
      </w:pPr>
    </w:p>
    <w:p w14:paraId="7850919C" w14:textId="727268DD" w:rsidR="00651855" w:rsidRDefault="00651855" w:rsidP="00651855">
      <w:pPr>
        <w:spacing w:after="0" w:line="240" w:lineRule="auto"/>
        <w:rPr>
          <w:color w:val="FF0000"/>
        </w:rPr>
      </w:pPr>
      <w:r w:rsidRPr="1B0A2E65">
        <w:t xml:space="preserve">Word count of </w:t>
      </w:r>
      <w:r>
        <w:t>all other elements (tables / figures, supplement, acknowledgements)</w:t>
      </w:r>
      <w:r w:rsidRPr="1B0A2E65">
        <w:t>:</w:t>
      </w:r>
      <w:r w:rsidRPr="1B0A2E65">
        <w:rPr>
          <w:color w:val="FF0000"/>
        </w:rPr>
        <w:t xml:space="preserve"> </w:t>
      </w:r>
      <w:r w:rsidR="00240B47" w:rsidRPr="00240B47">
        <w:t>120</w:t>
      </w:r>
    </w:p>
    <w:p w14:paraId="45EF1165" w14:textId="77777777" w:rsidR="00651855" w:rsidRDefault="00651855" w:rsidP="00651855">
      <w:pPr>
        <w:spacing w:after="0" w:line="240" w:lineRule="auto"/>
      </w:pPr>
    </w:p>
    <w:p w14:paraId="7F7B361D" w14:textId="77777777" w:rsidR="00651855" w:rsidRDefault="00651855" w:rsidP="00651855">
      <w:pPr>
        <w:spacing w:after="0" w:line="240" w:lineRule="auto"/>
        <w:jc w:val="center"/>
        <w:rPr>
          <w:rFonts w:ascii="Calibri" w:eastAsia="Calibri" w:hAnsi="Calibri" w:cs="Calibri"/>
        </w:rPr>
      </w:pPr>
    </w:p>
    <w:p w14:paraId="34D8025A" w14:textId="77777777" w:rsidR="00651855" w:rsidRDefault="00651855" w:rsidP="00651855">
      <w:pPr>
        <w:spacing w:after="0" w:line="240" w:lineRule="auto"/>
        <w:jc w:val="center"/>
        <w:rPr>
          <w:rFonts w:ascii="Calibri" w:eastAsia="Calibri" w:hAnsi="Calibri" w:cs="Calibri"/>
        </w:rPr>
      </w:pPr>
    </w:p>
    <w:p w14:paraId="5DDF0E6F" w14:textId="77777777" w:rsidR="00651855" w:rsidRDefault="00651855" w:rsidP="00651855">
      <w:pPr>
        <w:spacing w:after="0" w:line="240" w:lineRule="auto"/>
        <w:jc w:val="center"/>
      </w:pPr>
    </w:p>
    <w:p w14:paraId="5139AD10" w14:textId="77777777" w:rsidR="00651855" w:rsidRDefault="00651855" w:rsidP="00651855">
      <w:pPr>
        <w:spacing w:after="0" w:line="240" w:lineRule="auto"/>
        <w:jc w:val="center"/>
        <w:rPr>
          <w:rFonts w:ascii="Calibri" w:eastAsia="Calibri" w:hAnsi="Calibri" w:cs="Calibri"/>
        </w:rPr>
      </w:pPr>
      <w:r w:rsidRPr="1B971C87">
        <w:rPr>
          <w:rFonts w:ascii="Calibri" w:eastAsia="Calibri" w:hAnsi="Calibri" w:cs="Calibri"/>
        </w:rPr>
        <w:t xml:space="preserve"> </w:t>
      </w:r>
    </w:p>
    <w:p w14:paraId="2CB11881" w14:textId="77777777" w:rsidR="00651855" w:rsidRDefault="00651855" w:rsidP="00651855">
      <w:pPr>
        <w:spacing w:after="0" w:line="240" w:lineRule="auto"/>
        <w:jc w:val="center"/>
        <w:rPr>
          <w:rFonts w:ascii="Calibri" w:eastAsia="Calibri" w:hAnsi="Calibri" w:cs="Calibri"/>
        </w:rPr>
      </w:pPr>
      <w:r w:rsidRPr="1B971C87">
        <w:rPr>
          <w:rFonts w:ascii="Calibri" w:eastAsia="Calibri" w:hAnsi="Calibri" w:cs="Calibri"/>
        </w:rPr>
        <w:t xml:space="preserve"> </w:t>
      </w:r>
    </w:p>
    <w:p w14:paraId="2105D09A" w14:textId="77777777" w:rsidR="00651855" w:rsidRDefault="00651855" w:rsidP="00651855">
      <w:pPr>
        <w:spacing w:after="0" w:line="240" w:lineRule="auto"/>
        <w:jc w:val="center"/>
        <w:rPr>
          <w:rFonts w:ascii="Calibri" w:eastAsia="Calibri" w:hAnsi="Calibri" w:cs="Calibri"/>
        </w:rPr>
      </w:pPr>
    </w:p>
    <w:p w14:paraId="77205F36" w14:textId="77777777" w:rsidR="00651855" w:rsidRDefault="00651855" w:rsidP="00651855">
      <w:pPr>
        <w:spacing w:after="0" w:line="240" w:lineRule="auto"/>
        <w:jc w:val="center"/>
        <w:rPr>
          <w:rFonts w:ascii="Calibri" w:eastAsia="Calibri" w:hAnsi="Calibri" w:cs="Calibri"/>
        </w:rPr>
      </w:pPr>
    </w:p>
    <w:p w14:paraId="2FF18E75" w14:textId="77777777" w:rsidR="00651855" w:rsidRDefault="00651855" w:rsidP="00651855">
      <w:pPr>
        <w:spacing w:after="0" w:line="240" w:lineRule="auto"/>
        <w:jc w:val="center"/>
        <w:rPr>
          <w:rFonts w:ascii="Calibri" w:eastAsia="Calibri" w:hAnsi="Calibri" w:cs="Calibri"/>
        </w:rPr>
      </w:pPr>
    </w:p>
    <w:p w14:paraId="60F2F173" w14:textId="77777777" w:rsidR="00651855" w:rsidRDefault="00651855" w:rsidP="00651855">
      <w:pPr>
        <w:spacing w:after="0" w:line="240" w:lineRule="auto"/>
        <w:jc w:val="center"/>
        <w:rPr>
          <w:rFonts w:ascii="Calibri" w:eastAsia="Calibri" w:hAnsi="Calibri" w:cs="Calibri"/>
        </w:rPr>
      </w:pPr>
    </w:p>
    <w:p w14:paraId="6325A589" w14:textId="77777777" w:rsidR="00651855" w:rsidRDefault="00651855" w:rsidP="00651855">
      <w:pPr>
        <w:spacing w:after="0" w:line="240" w:lineRule="auto"/>
        <w:jc w:val="center"/>
        <w:rPr>
          <w:rFonts w:ascii="Calibri" w:eastAsia="Calibri" w:hAnsi="Calibri" w:cs="Calibri"/>
        </w:rPr>
      </w:pPr>
    </w:p>
    <w:p w14:paraId="364C7407" w14:textId="77777777" w:rsidR="00651855" w:rsidRDefault="00651855" w:rsidP="00651855">
      <w:pPr>
        <w:spacing w:after="0" w:line="240" w:lineRule="auto"/>
        <w:jc w:val="center"/>
        <w:rPr>
          <w:rFonts w:ascii="Calibri" w:eastAsia="Calibri" w:hAnsi="Calibri" w:cs="Calibri"/>
        </w:rPr>
      </w:pPr>
    </w:p>
    <w:p w14:paraId="2E0C02AA" w14:textId="77777777" w:rsidR="00651855" w:rsidRDefault="00651855" w:rsidP="00651855">
      <w:pPr>
        <w:spacing w:after="0" w:line="240" w:lineRule="auto"/>
        <w:jc w:val="center"/>
        <w:rPr>
          <w:rFonts w:ascii="Calibri" w:eastAsia="Calibri" w:hAnsi="Calibri" w:cs="Calibri"/>
        </w:rPr>
      </w:pPr>
    </w:p>
    <w:p w14:paraId="1DCF1099" w14:textId="77777777" w:rsidR="00651855" w:rsidRDefault="00651855" w:rsidP="00651855">
      <w:pPr>
        <w:spacing w:after="0" w:line="240" w:lineRule="auto"/>
        <w:jc w:val="center"/>
        <w:rPr>
          <w:rFonts w:ascii="Calibri" w:eastAsia="Calibri" w:hAnsi="Calibri" w:cs="Calibri"/>
        </w:rPr>
      </w:pPr>
    </w:p>
    <w:p w14:paraId="2BBC7315" w14:textId="77777777" w:rsidR="00651855" w:rsidRDefault="00651855" w:rsidP="00651855">
      <w:pPr>
        <w:spacing w:after="0" w:line="240" w:lineRule="auto"/>
        <w:jc w:val="center"/>
        <w:rPr>
          <w:rFonts w:ascii="Calibri" w:eastAsia="Calibri" w:hAnsi="Calibri" w:cs="Calibri"/>
        </w:rPr>
      </w:pPr>
    </w:p>
    <w:p w14:paraId="7797BAA0" w14:textId="77777777" w:rsidR="00651855" w:rsidRDefault="00651855" w:rsidP="00651855">
      <w:pPr>
        <w:spacing w:after="0" w:line="240" w:lineRule="auto"/>
        <w:jc w:val="center"/>
        <w:rPr>
          <w:rFonts w:ascii="Calibri" w:eastAsia="Calibri" w:hAnsi="Calibri" w:cs="Calibri"/>
        </w:rPr>
      </w:pPr>
    </w:p>
    <w:p w14:paraId="12DF8FB4" w14:textId="77777777" w:rsidR="00651855" w:rsidRDefault="00651855" w:rsidP="00651855">
      <w:pPr>
        <w:spacing w:after="0" w:line="240" w:lineRule="auto"/>
        <w:jc w:val="center"/>
        <w:rPr>
          <w:rFonts w:ascii="Calibri" w:eastAsia="Calibri" w:hAnsi="Calibri" w:cs="Calibri"/>
        </w:rPr>
      </w:pPr>
    </w:p>
    <w:p w14:paraId="25989E5F" w14:textId="77777777" w:rsidR="00651855" w:rsidRDefault="00651855" w:rsidP="00651855">
      <w:pPr>
        <w:spacing w:after="0" w:line="240" w:lineRule="auto"/>
        <w:jc w:val="center"/>
        <w:rPr>
          <w:rFonts w:ascii="Calibri" w:eastAsia="Calibri" w:hAnsi="Calibri" w:cs="Calibri"/>
        </w:rPr>
      </w:pPr>
    </w:p>
    <w:p w14:paraId="6B005BE8" w14:textId="77777777" w:rsidR="00651855" w:rsidRDefault="00651855" w:rsidP="00651855">
      <w:pPr>
        <w:spacing w:after="0" w:line="240" w:lineRule="auto"/>
        <w:jc w:val="center"/>
        <w:rPr>
          <w:rFonts w:ascii="Calibri" w:eastAsia="Calibri" w:hAnsi="Calibri" w:cs="Calibri"/>
        </w:rPr>
      </w:pPr>
    </w:p>
    <w:p w14:paraId="07D2B25E" w14:textId="77777777" w:rsidR="00651855" w:rsidRDefault="00651855" w:rsidP="00651855">
      <w:pPr>
        <w:spacing w:after="0" w:line="240" w:lineRule="auto"/>
        <w:jc w:val="center"/>
        <w:rPr>
          <w:rFonts w:ascii="Calibri" w:eastAsia="Calibri" w:hAnsi="Calibri" w:cs="Calibri"/>
        </w:rPr>
      </w:pPr>
    </w:p>
    <w:p w14:paraId="391186F5" w14:textId="77777777" w:rsidR="00651855" w:rsidRDefault="00651855" w:rsidP="00651855">
      <w:pPr>
        <w:spacing w:after="0" w:line="240" w:lineRule="auto"/>
        <w:jc w:val="center"/>
        <w:rPr>
          <w:rFonts w:ascii="Calibri" w:eastAsia="Calibri" w:hAnsi="Calibri" w:cs="Calibri"/>
        </w:rPr>
      </w:pPr>
    </w:p>
    <w:p w14:paraId="7073316E" w14:textId="77777777" w:rsidR="00651855" w:rsidRDefault="00651855" w:rsidP="00651855">
      <w:pPr>
        <w:spacing w:after="0" w:line="240" w:lineRule="auto"/>
        <w:jc w:val="center"/>
      </w:pPr>
    </w:p>
    <w:p w14:paraId="0E3C2D4B" w14:textId="77777777" w:rsidR="00651855" w:rsidRDefault="00651855" w:rsidP="00651855">
      <w:pPr>
        <w:spacing w:after="0" w:line="240" w:lineRule="auto"/>
        <w:jc w:val="center"/>
        <w:rPr>
          <w:rFonts w:ascii="Calibri" w:eastAsia="Calibri" w:hAnsi="Calibri" w:cs="Calibri"/>
        </w:rPr>
      </w:pPr>
      <w:r w:rsidRPr="2F916F8A">
        <w:rPr>
          <w:rFonts w:ascii="Calibri" w:eastAsia="Calibri" w:hAnsi="Calibri" w:cs="Calibri"/>
        </w:rPr>
        <w:t xml:space="preserve"> </w:t>
      </w:r>
    </w:p>
    <w:p w14:paraId="35A2521D" w14:textId="74F5834B" w:rsidR="00651855" w:rsidRDefault="00651855" w:rsidP="00651855">
      <w:pPr>
        <w:spacing w:after="0" w:line="240" w:lineRule="auto"/>
        <w:jc w:val="center"/>
        <w:rPr>
          <w:rFonts w:ascii="Calibri" w:eastAsia="Calibri" w:hAnsi="Calibri" w:cs="Calibri"/>
          <w:i/>
          <w:iCs/>
          <w:color w:val="000000" w:themeColor="text1"/>
        </w:rPr>
      </w:pPr>
      <w:r w:rsidRPr="35637FFB">
        <w:rPr>
          <w:rFonts w:ascii="Calibri" w:eastAsia="Calibri" w:hAnsi="Calibri" w:cs="Calibri"/>
          <w:i/>
          <w:iCs/>
          <w:color w:val="000000" w:themeColor="text1"/>
        </w:rPr>
        <w:t xml:space="preserve">A dissertation submitted to the University of Bristol in accordance with the requirements of the degree of Master of Science by advanced study in </w:t>
      </w:r>
      <w:r w:rsidRPr="00240B47">
        <w:rPr>
          <w:rFonts w:ascii="Calibri" w:eastAsia="Calibri" w:hAnsi="Calibri" w:cs="Calibri"/>
          <w:i/>
          <w:iCs/>
        </w:rPr>
        <w:t xml:space="preserve">Medical Statistics and Health Data Science </w:t>
      </w:r>
      <w:r w:rsidRPr="35637FFB">
        <w:rPr>
          <w:rFonts w:ascii="Calibri" w:eastAsia="Calibri" w:hAnsi="Calibri" w:cs="Calibri"/>
          <w:i/>
          <w:iCs/>
          <w:color w:val="000000" w:themeColor="text1"/>
        </w:rPr>
        <w:t>in the Faculty of Health Sciences.</w:t>
      </w:r>
    </w:p>
    <w:p w14:paraId="2F350165" w14:textId="77777777" w:rsidR="00651855" w:rsidRDefault="00651855" w:rsidP="00651855">
      <w:pPr>
        <w:spacing w:after="0" w:line="240" w:lineRule="auto"/>
        <w:jc w:val="center"/>
        <w:rPr>
          <w:rFonts w:ascii="Calibri" w:eastAsia="Calibri" w:hAnsi="Calibri" w:cs="Calibri"/>
          <w:i/>
          <w:iCs/>
          <w:color w:val="000000" w:themeColor="text1"/>
        </w:rPr>
      </w:pPr>
      <w:r w:rsidRPr="2F916F8A">
        <w:rPr>
          <w:rFonts w:ascii="Calibri" w:eastAsia="Calibri" w:hAnsi="Calibri" w:cs="Calibri"/>
          <w:i/>
          <w:iCs/>
          <w:color w:val="000000" w:themeColor="text1"/>
        </w:rPr>
        <w:t xml:space="preserve"> </w:t>
      </w:r>
    </w:p>
    <w:p w14:paraId="1F8357E2" w14:textId="68B460CB" w:rsidR="00651855" w:rsidRDefault="00651855" w:rsidP="00651855">
      <w:pPr>
        <w:spacing w:after="0" w:line="240" w:lineRule="auto"/>
        <w:jc w:val="center"/>
        <w:rPr>
          <w:rFonts w:ascii="Calibri" w:eastAsia="Calibri" w:hAnsi="Calibri" w:cs="Calibri"/>
          <w:i/>
          <w:iCs/>
        </w:rPr>
      </w:pPr>
      <w:r w:rsidRPr="35637FFB">
        <w:rPr>
          <w:rFonts w:ascii="Calibri" w:eastAsia="Calibri" w:hAnsi="Calibri" w:cs="Calibri"/>
          <w:i/>
          <w:iCs/>
        </w:rPr>
        <w:lastRenderedPageBreak/>
        <w:t xml:space="preserve">Population </w:t>
      </w:r>
      <w:r>
        <w:rPr>
          <w:rFonts w:ascii="Calibri" w:eastAsia="Calibri" w:hAnsi="Calibri" w:cs="Calibri"/>
          <w:i/>
          <w:iCs/>
        </w:rPr>
        <w:t>H</w:t>
      </w:r>
      <w:r w:rsidRPr="35637FFB">
        <w:rPr>
          <w:rFonts w:ascii="Calibri" w:eastAsia="Calibri" w:hAnsi="Calibri" w:cs="Calibri"/>
          <w:i/>
          <w:iCs/>
        </w:rPr>
        <w:t xml:space="preserve">ealth Sciences, Bristol Medical School, </w:t>
      </w:r>
      <w:r w:rsidR="00240B47" w:rsidRPr="00240B47">
        <w:rPr>
          <w:rFonts w:ascii="Calibri" w:eastAsia="Calibri" w:hAnsi="Calibri" w:cs="Calibri"/>
          <w:i/>
          <w:iCs/>
        </w:rPr>
        <w:t>08/2025</w:t>
      </w:r>
    </w:p>
    <w:p w14:paraId="0CCF4AED" w14:textId="77777777" w:rsidR="00651855" w:rsidRDefault="00651855" w:rsidP="00651855">
      <w:pPr>
        <w:spacing w:after="0" w:line="240" w:lineRule="auto"/>
        <w:jc w:val="center"/>
        <w:rPr>
          <w:rFonts w:ascii="Calibri" w:eastAsia="Calibri" w:hAnsi="Calibri" w:cs="Calibri"/>
          <w:b/>
          <w:bCs/>
        </w:rPr>
      </w:pPr>
    </w:p>
    <w:p w14:paraId="077A2710" w14:textId="77777777" w:rsidR="00651855" w:rsidRPr="005A1FCD" w:rsidRDefault="00651855" w:rsidP="00651855">
      <w:pPr>
        <w:spacing w:after="0" w:line="240" w:lineRule="auto"/>
        <w:jc w:val="center"/>
        <w:rPr>
          <w:b/>
          <w:bCs/>
        </w:rPr>
      </w:pPr>
      <w:r>
        <w:rPr>
          <w:rFonts w:ascii="Calibri" w:eastAsia="Calibri" w:hAnsi="Calibri" w:cs="Calibri"/>
          <w:b/>
          <w:bCs/>
        </w:rPr>
        <w:t>Author’s</w:t>
      </w:r>
      <w:r w:rsidRPr="2F916F8A">
        <w:rPr>
          <w:rFonts w:ascii="Calibri" w:eastAsia="Calibri" w:hAnsi="Calibri" w:cs="Calibri"/>
          <w:b/>
          <w:bCs/>
        </w:rPr>
        <w:t xml:space="preserve"> Declaration </w:t>
      </w:r>
    </w:p>
    <w:p w14:paraId="743956CB" w14:textId="77777777" w:rsidR="00651855" w:rsidRDefault="00651855" w:rsidP="00651855">
      <w:pPr>
        <w:spacing w:after="0" w:line="240" w:lineRule="auto"/>
        <w:rPr>
          <w:rFonts w:ascii="Calibri" w:eastAsia="Calibri" w:hAnsi="Calibri" w:cs="Calibri"/>
          <w:i/>
          <w:iCs/>
        </w:rPr>
      </w:pPr>
    </w:p>
    <w:p w14:paraId="56C39C9C" w14:textId="77777777" w:rsidR="00651855" w:rsidRDefault="00651855" w:rsidP="00651855">
      <w:pPr>
        <w:spacing w:after="0" w:line="240" w:lineRule="auto"/>
        <w:rPr>
          <w:rFonts w:ascii="Calibri" w:eastAsia="Calibri" w:hAnsi="Calibri" w:cs="Calibri"/>
          <w:i/>
          <w:iCs/>
        </w:rPr>
      </w:pPr>
    </w:p>
    <w:p w14:paraId="295BF80C" w14:textId="77777777" w:rsidR="00651855" w:rsidRPr="003D7E4D" w:rsidRDefault="00651855" w:rsidP="00651855">
      <w:pPr>
        <w:spacing w:after="0" w:line="240" w:lineRule="auto"/>
        <w:rPr>
          <w:rFonts w:ascii="Calibri" w:eastAsia="Calibri" w:hAnsi="Calibri" w:cs="Calibri"/>
          <w:i/>
          <w:iCs/>
        </w:rPr>
      </w:pPr>
      <w:r w:rsidRPr="003D7E4D">
        <w:rPr>
          <w:rFonts w:ascii="Calibri" w:eastAsia="Calibri" w:hAnsi="Calibri" w:cs="Calibri"/>
          <w:i/>
          <w:iCs/>
        </w:rPr>
        <w:t>I declare that the work in this dissertation was carried out in accordance with the</w:t>
      </w:r>
    </w:p>
    <w:p w14:paraId="4847A300" w14:textId="77777777" w:rsidR="00651855" w:rsidRPr="003D7E4D" w:rsidRDefault="00651855" w:rsidP="00651855">
      <w:pPr>
        <w:spacing w:after="0" w:line="240" w:lineRule="auto"/>
        <w:rPr>
          <w:rFonts w:ascii="Calibri" w:eastAsia="Calibri" w:hAnsi="Calibri" w:cs="Calibri"/>
          <w:i/>
          <w:iCs/>
        </w:rPr>
      </w:pPr>
      <w:r w:rsidRPr="003D7E4D">
        <w:rPr>
          <w:rFonts w:ascii="Calibri" w:eastAsia="Calibri" w:hAnsi="Calibri" w:cs="Calibri"/>
          <w:i/>
          <w:iCs/>
        </w:rPr>
        <w:t>requirements of the University’s Regulations and Code of Practice for Taught Programmes</w:t>
      </w:r>
    </w:p>
    <w:p w14:paraId="7F450B24" w14:textId="77777777" w:rsidR="00651855" w:rsidRPr="003D7E4D" w:rsidRDefault="00651855" w:rsidP="00651855">
      <w:pPr>
        <w:spacing w:after="0" w:line="240" w:lineRule="auto"/>
        <w:rPr>
          <w:rFonts w:ascii="Calibri" w:eastAsia="Calibri" w:hAnsi="Calibri" w:cs="Calibri"/>
          <w:i/>
          <w:iCs/>
        </w:rPr>
      </w:pPr>
      <w:r w:rsidRPr="003D7E4D">
        <w:rPr>
          <w:rFonts w:ascii="Calibri" w:eastAsia="Calibri" w:hAnsi="Calibri" w:cs="Calibri"/>
          <w:i/>
          <w:iCs/>
        </w:rPr>
        <w:t>and that it has not been submitted for any other academic award. Except where indicated</w:t>
      </w:r>
    </w:p>
    <w:p w14:paraId="16C9639C" w14:textId="77777777" w:rsidR="00651855" w:rsidRPr="003D7E4D" w:rsidRDefault="00651855" w:rsidP="00651855">
      <w:pPr>
        <w:spacing w:after="0" w:line="240" w:lineRule="auto"/>
        <w:rPr>
          <w:rFonts w:ascii="Calibri" w:eastAsia="Calibri" w:hAnsi="Calibri" w:cs="Calibri"/>
          <w:i/>
          <w:iCs/>
        </w:rPr>
      </w:pPr>
      <w:r w:rsidRPr="003D7E4D">
        <w:rPr>
          <w:rFonts w:ascii="Calibri" w:eastAsia="Calibri" w:hAnsi="Calibri" w:cs="Calibri"/>
          <w:i/>
          <w:iCs/>
        </w:rPr>
        <w:t>by specific reference in the text, this work is my own work. Work done in collaboration with,</w:t>
      </w:r>
    </w:p>
    <w:p w14:paraId="46FF1124" w14:textId="77777777" w:rsidR="00651855" w:rsidRPr="003D7E4D" w:rsidRDefault="00651855" w:rsidP="00651855">
      <w:pPr>
        <w:spacing w:after="0" w:line="240" w:lineRule="auto"/>
        <w:rPr>
          <w:rFonts w:ascii="Calibri" w:eastAsia="Calibri" w:hAnsi="Calibri" w:cs="Calibri"/>
          <w:i/>
          <w:iCs/>
        </w:rPr>
      </w:pPr>
      <w:r w:rsidRPr="003D7E4D">
        <w:rPr>
          <w:rFonts w:ascii="Calibri" w:eastAsia="Calibri" w:hAnsi="Calibri" w:cs="Calibri"/>
          <w:i/>
          <w:iCs/>
        </w:rPr>
        <w:t>or with the assistance of others, is indicated as such. I have identified all material in this</w:t>
      </w:r>
    </w:p>
    <w:p w14:paraId="42417821" w14:textId="77777777" w:rsidR="00651855" w:rsidRPr="003D7E4D" w:rsidRDefault="00651855" w:rsidP="00651855">
      <w:pPr>
        <w:spacing w:after="0" w:line="240" w:lineRule="auto"/>
        <w:rPr>
          <w:rFonts w:ascii="Calibri" w:eastAsia="Calibri" w:hAnsi="Calibri" w:cs="Calibri"/>
          <w:i/>
          <w:iCs/>
        </w:rPr>
      </w:pPr>
      <w:r w:rsidRPr="003D7E4D">
        <w:rPr>
          <w:rFonts w:ascii="Calibri" w:eastAsia="Calibri" w:hAnsi="Calibri" w:cs="Calibri"/>
          <w:i/>
          <w:iCs/>
        </w:rPr>
        <w:t>dissertation which is not my own work through appropriate referencing and</w:t>
      </w:r>
    </w:p>
    <w:p w14:paraId="64AA72F6" w14:textId="77777777" w:rsidR="00651855" w:rsidRPr="003D7E4D" w:rsidRDefault="00651855" w:rsidP="00651855">
      <w:pPr>
        <w:spacing w:after="0" w:line="240" w:lineRule="auto"/>
        <w:rPr>
          <w:rFonts w:ascii="Calibri" w:eastAsia="Calibri" w:hAnsi="Calibri" w:cs="Calibri"/>
          <w:i/>
          <w:iCs/>
        </w:rPr>
      </w:pPr>
      <w:r w:rsidRPr="003D7E4D">
        <w:rPr>
          <w:rFonts w:ascii="Calibri" w:eastAsia="Calibri" w:hAnsi="Calibri" w:cs="Calibri"/>
          <w:i/>
          <w:iCs/>
        </w:rPr>
        <w:t>acknowledgement. Where I have quoted or otherwise incorporated material which is the</w:t>
      </w:r>
    </w:p>
    <w:p w14:paraId="7A09338F" w14:textId="77777777" w:rsidR="00651855" w:rsidRPr="003D7E4D" w:rsidRDefault="00651855" w:rsidP="00651855">
      <w:pPr>
        <w:spacing w:after="0" w:line="240" w:lineRule="auto"/>
        <w:rPr>
          <w:rFonts w:ascii="Calibri" w:eastAsia="Calibri" w:hAnsi="Calibri" w:cs="Calibri"/>
          <w:i/>
          <w:iCs/>
        </w:rPr>
      </w:pPr>
      <w:r w:rsidRPr="003D7E4D">
        <w:rPr>
          <w:rFonts w:ascii="Calibri" w:eastAsia="Calibri" w:hAnsi="Calibri" w:cs="Calibri"/>
          <w:i/>
          <w:iCs/>
        </w:rPr>
        <w:t>work of others, I have included the source in the references. Any views expressed in the</w:t>
      </w:r>
    </w:p>
    <w:p w14:paraId="4E0C003E" w14:textId="77777777" w:rsidR="00651855" w:rsidRDefault="00651855" w:rsidP="00651855">
      <w:pPr>
        <w:spacing w:after="0" w:line="240" w:lineRule="auto"/>
        <w:rPr>
          <w:rFonts w:ascii="Calibri" w:eastAsia="Calibri" w:hAnsi="Calibri" w:cs="Calibri"/>
          <w:i/>
          <w:iCs/>
        </w:rPr>
      </w:pPr>
      <w:r w:rsidRPr="003D7E4D">
        <w:rPr>
          <w:rFonts w:ascii="Calibri" w:eastAsia="Calibri" w:hAnsi="Calibri" w:cs="Calibri"/>
          <w:i/>
          <w:iCs/>
        </w:rPr>
        <w:t>dissertation, other than referenced material, are those of the author.</w:t>
      </w:r>
    </w:p>
    <w:p w14:paraId="3D7217C6" w14:textId="77777777" w:rsidR="00651855" w:rsidRDefault="00651855" w:rsidP="00651855">
      <w:pPr>
        <w:spacing w:after="0" w:line="240" w:lineRule="auto"/>
        <w:rPr>
          <w:rFonts w:ascii="Calibri" w:eastAsia="Calibri" w:hAnsi="Calibri" w:cs="Calibri"/>
          <w:i/>
          <w:iCs/>
        </w:rPr>
      </w:pPr>
    </w:p>
    <w:p w14:paraId="5D06EB2F" w14:textId="77777777" w:rsidR="00651855" w:rsidRDefault="00651855" w:rsidP="00651855">
      <w:pPr>
        <w:spacing w:after="0" w:line="240" w:lineRule="auto"/>
      </w:pPr>
    </w:p>
    <w:p w14:paraId="6D794542" w14:textId="352B7B74" w:rsidR="00651855" w:rsidRDefault="005C6AFE" w:rsidP="00651855">
      <w:pPr>
        <w:spacing w:after="0" w:line="240" w:lineRule="auto"/>
        <w:rPr>
          <w:rFonts w:ascii="Calibri" w:eastAsia="Calibri" w:hAnsi="Calibri" w:cs="Calibri"/>
          <w:i/>
          <w:iCs/>
        </w:rPr>
      </w:pPr>
      <w:r>
        <w:rPr>
          <w:rFonts w:ascii="Calibri" w:eastAsia="Calibri" w:hAnsi="Calibri" w:cs="Calibri"/>
          <w:i/>
          <w:iCs/>
          <w:noProof/>
          <w14:ligatures w14:val="none"/>
        </w:rPr>
        <mc:AlternateContent>
          <mc:Choice Requires="wpi">
            <w:drawing>
              <wp:anchor distT="0" distB="0" distL="114300" distR="114300" simplePos="0" relativeHeight="251673600" behindDoc="0" locked="0" layoutInCell="1" allowOverlap="1" wp14:anchorId="29AB1094" wp14:editId="7BA29274">
                <wp:simplePos x="0" y="0"/>
                <wp:positionH relativeFrom="column">
                  <wp:posOffset>1776730</wp:posOffset>
                </wp:positionH>
                <wp:positionV relativeFrom="paragraph">
                  <wp:posOffset>45085</wp:posOffset>
                </wp:positionV>
                <wp:extent cx="450040" cy="227425"/>
                <wp:effectExtent l="38100" t="38100" r="7620" b="39370"/>
                <wp:wrapNone/>
                <wp:docPr id="2021192124" name="Ink 19"/>
                <wp:cNvGraphicFramePr/>
                <a:graphic xmlns:a="http://schemas.openxmlformats.org/drawingml/2006/main">
                  <a:graphicData uri="http://schemas.microsoft.com/office/word/2010/wordprocessingInk">
                    <w14:contentPart bwMode="auto" r:id="rId9">
                      <w14:nvContentPartPr>
                        <w14:cNvContentPartPr/>
                      </w14:nvContentPartPr>
                      <w14:xfrm>
                        <a:off x="0" y="0"/>
                        <a:ext cx="450040" cy="227425"/>
                      </w14:xfrm>
                    </w14:contentPart>
                  </a:graphicData>
                </a:graphic>
              </wp:anchor>
            </w:drawing>
          </mc:Choice>
          <mc:Fallback>
            <w:pict>
              <v:shapetype w14:anchorId="1D923B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139.4pt;margin-top:3.05pt;width:36.45pt;height:18.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">
                <v:imagedata r:id="rId10" o:title=""/>
              </v:shape>
            </w:pict>
          </mc:Fallback>
        </mc:AlternateContent>
      </w:r>
      <w:r>
        <w:rPr>
          <w:rFonts w:ascii="Calibri" w:eastAsia="Calibri" w:hAnsi="Calibri" w:cs="Calibri"/>
          <w:i/>
          <w:iCs/>
          <w:noProof/>
          <w14:ligatures w14:val="none"/>
        </w:rPr>
        <mc:AlternateContent>
          <mc:Choice Requires="wpi">
            <w:drawing>
              <wp:anchor distT="0" distB="0" distL="114300" distR="114300" simplePos="0" relativeHeight="251667456" behindDoc="0" locked="0" layoutInCell="1" allowOverlap="1" wp14:anchorId="08F65E78" wp14:editId="5579495F">
                <wp:simplePos x="0" y="0"/>
                <wp:positionH relativeFrom="column">
                  <wp:posOffset>1117600</wp:posOffset>
                </wp:positionH>
                <wp:positionV relativeFrom="paragraph">
                  <wp:posOffset>40005</wp:posOffset>
                </wp:positionV>
                <wp:extent cx="456550" cy="231555"/>
                <wp:effectExtent l="38100" t="38100" r="39370" b="35560"/>
                <wp:wrapNone/>
                <wp:docPr id="884055977"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456550" cy="231555"/>
                      </w14:xfrm>
                    </w14:contentPart>
                  </a:graphicData>
                </a:graphic>
              </wp:anchor>
            </w:drawing>
          </mc:Choice>
          <mc:Fallback>
            <w:pict>
              <v:shape w14:anchorId="40F0906A" id="Ink 12" o:spid="_x0000_s1026" type="#_x0000_t75" style="position:absolute;margin-left:87.5pt;margin-top:2.65pt;width:36.95pt;height:19.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">
                <v:imagedata r:id="rId12" o:title=""/>
              </v:shape>
            </w:pict>
          </mc:Fallback>
        </mc:AlternateContent>
      </w:r>
      <w:r w:rsidR="00651855" w:rsidRPr="2F916F8A">
        <w:rPr>
          <w:rFonts w:ascii="Calibri" w:eastAsia="Calibri" w:hAnsi="Calibri" w:cs="Calibri"/>
          <w:i/>
          <w:iCs/>
        </w:rPr>
        <w:t xml:space="preserve"> </w:t>
      </w:r>
    </w:p>
    <w:p w14:paraId="6062F75A" w14:textId="27032F13" w:rsidR="00651855" w:rsidRDefault="005C6AFE" w:rsidP="00651855">
      <w:pPr>
        <w:spacing w:after="0" w:line="240" w:lineRule="auto"/>
        <w:rPr>
          <w:rFonts w:ascii="Calibri" w:eastAsia="Calibri" w:hAnsi="Calibri" w:cs="Calibri"/>
          <w:i/>
          <w:iCs/>
        </w:rPr>
      </w:pPr>
      <w:r>
        <w:rPr>
          <w:rFonts w:ascii="Calibri" w:eastAsia="Calibri" w:hAnsi="Calibri" w:cs="Calibri"/>
          <w:i/>
          <w:iCs/>
          <w:noProof/>
          <w14:ligatures w14:val="none"/>
        </w:rPr>
        <mc:AlternateContent>
          <mc:Choice Requires="wpi">
            <w:drawing>
              <wp:anchor distT="0" distB="0" distL="114300" distR="114300" simplePos="0" relativeHeight="251677696" behindDoc="0" locked="0" layoutInCell="1" allowOverlap="1" wp14:anchorId="58C88867" wp14:editId="14480435">
                <wp:simplePos x="0" y="0"/>
                <wp:positionH relativeFrom="column">
                  <wp:posOffset>2292350</wp:posOffset>
                </wp:positionH>
                <wp:positionV relativeFrom="paragraph">
                  <wp:posOffset>-29210</wp:posOffset>
                </wp:positionV>
                <wp:extent cx="240225" cy="222965"/>
                <wp:effectExtent l="38100" t="38100" r="7620" b="43815"/>
                <wp:wrapNone/>
                <wp:docPr id="1033922016" name="Ink 23"/>
                <wp:cNvGraphicFramePr/>
                <a:graphic xmlns:a="http://schemas.openxmlformats.org/drawingml/2006/main">
                  <a:graphicData uri="http://schemas.microsoft.com/office/word/2010/wordprocessingInk">
                    <w14:contentPart bwMode="auto" r:id="rId13">
                      <w14:nvContentPartPr>
                        <w14:cNvContentPartPr/>
                      </w14:nvContentPartPr>
                      <w14:xfrm>
                        <a:off x="0" y="0"/>
                        <a:ext cx="240225" cy="222965"/>
                      </w14:xfrm>
                    </w14:contentPart>
                  </a:graphicData>
                </a:graphic>
              </wp:anchor>
            </w:drawing>
          </mc:Choice>
          <mc:Fallback>
            <w:pict>
              <v:shape w14:anchorId="2AC09D55" id="Ink 23" o:spid="_x0000_s1026" type="#_x0000_t75" style="position:absolute;margin-left:180pt;margin-top:-2.8pt;width:19.9pt;height:1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">
                <v:imagedata r:id="rId14" o:title=""/>
              </v:shape>
            </w:pict>
          </mc:Fallback>
        </mc:AlternateContent>
      </w:r>
      <w:r>
        <w:rPr>
          <w:rFonts w:ascii="Calibri" w:eastAsia="Calibri" w:hAnsi="Calibri" w:cs="Calibri"/>
          <w:i/>
          <w:iCs/>
          <w:noProof/>
          <w14:ligatures w14:val="none"/>
        </w:rPr>
        <mc:AlternateContent>
          <mc:Choice Requires="wpi">
            <w:drawing>
              <wp:anchor distT="0" distB="0" distL="114300" distR="114300" simplePos="0" relativeHeight="251662336" behindDoc="0" locked="0" layoutInCell="1" allowOverlap="1" wp14:anchorId="205A30E3" wp14:editId="0313B706">
                <wp:simplePos x="0" y="0"/>
                <wp:positionH relativeFrom="column">
                  <wp:posOffset>1279025</wp:posOffset>
                </wp:positionH>
                <wp:positionV relativeFrom="paragraph">
                  <wp:posOffset>-46251</wp:posOffset>
                </wp:positionV>
                <wp:extent cx="101160" cy="127080"/>
                <wp:effectExtent l="38100" t="38100" r="32385" b="44450"/>
                <wp:wrapNone/>
                <wp:docPr id="1459089671" name="Ink 6"/>
                <wp:cNvGraphicFramePr/>
                <a:graphic xmlns:a="http://schemas.openxmlformats.org/drawingml/2006/main">
                  <a:graphicData uri="http://schemas.microsoft.com/office/word/2010/wordprocessingInk">
                    <w14:contentPart bwMode="auto" r:id="rId15">
                      <w14:nvContentPartPr>
                        <w14:cNvContentPartPr/>
                      </w14:nvContentPartPr>
                      <w14:xfrm>
                        <a:off x="0" y="0"/>
                        <a:ext cx="101160" cy="127080"/>
                      </w14:xfrm>
                    </w14:contentPart>
                  </a:graphicData>
                </a:graphic>
              </wp:anchor>
            </w:drawing>
          </mc:Choice>
          <mc:Fallback>
            <w:pict>
              <v:shape w14:anchorId="6AA3F819" id="Ink 6" o:spid="_x0000_s1026" type="#_x0000_t75" style="position:absolute;margin-left:100.2pt;margin-top:-4.15pt;width:8.95pt;height:10.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">
                <v:imagedata r:id="rId16" o:title=""/>
              </v:shape>
            </w:pict>
          </mc:Fallback>
        </mc:AlternateContent>
      </w:r>
      <w:r w:rsidR="00651855" w:rsidRPr="2F916F8A">
        <w:rPr>
          <w:rFonts w:ascii="Calibri" w:eastAsia="Calibri" w:hAnsi="Calibri" w:cs="Calibri"/>
          <w:i/>
          <w:iCs/>
        </w:rPr>
        <w:t>SIGNED: ……………………………………………………………. DATE: …</w:t>
      </w:r>
      <w:r>
        <w:rPr>
          <w:rFonts w:ascii="Calibri" w:eastAsia="Calibri" w:hAnsi="Calibri" w:cs="Calibri"/>
          <w:i/>
          <w:iCs/>
        </w:rPr>
        <w:t>13/08/2025</w:t>
      </w:r>
      <w:r w:rsidR="00651855" w:rsidRPr="2F916F8A">
        <w:rPr>
          <w:rFonts w:ascii="Calibri" w:eastAsia="Calibri" w:hAnsi="Calibri" w:cs="Calibri"/>
          <w:i/>
          <w:iCs/>
        </w:rPr>
        <w:t xml:space="preserve">………….. </w:t>
      </w:r>
    </w:p>
    <w:p w14:paraId="4FB813A2" w14:textId="77777777" w:rsidR="00651855" w:rsidRDefault="00651855" w:rsidP="00651855">
      <w:pPr>
        <w:spacing w:after="0" w:line="240" w:lineRule="auto"/>
        <w:rPr>
          <w:rFonts w:ascii="Calibri" w:eastAsia="Calibri" w:hAnsi="Calibri" w:cs="Calibri"/>
        </w:rPr>
      </w:pPr>
      <w:r w:rsidRPr="2F916F8A">
        <w:rPr>
          <w:rFonts w:ascii="Calibri" w:eastAsia="Calibri" w:hAnsi="Calibri" w:cs="Calibri"/>
        </w:rPr>
        <w:t xml:space="preserve"> (an electronic signature will be taken as confirmation of declaration)</w:t>
      </w:r>
    </w:p>
    <w:p w14:paraId="63D602D2" w14:textId="77777777" w:rsidR="00651855" w:rsidRDefault="00651855" w:rsidP="00651855">
      <w:pPr>
        <w:spacing w:after="0" w:line="240" w:lineRule="auto"/>
      </w:pPr>
    </w:p>
    <w:p w14:paraId="24370B61" w14:textId="77777777" w:rsidR="00651855" w:rsidRDefault="00651855" w:rsidP="00651855">
      <w:pPr>
        <w:spacing w:after="0" w:line="240" w:lineRule="auto"/>
      </w:pPr>
    </w:p>
    <w:p w14:paraId="55803797" w14:textId="77777777" w:rsidR="00651855" w:rsidRDefault="00651855" w:rsidP="00DD5881">
      <w:pPr>
        <w:spacing w:line="360" w:lineRule="auto"/>
        <w:rPr>
          <w:rFonts w:ascii="Calibri" w:hAnsi="Calibri" w:cs="Calibri"/>
          <w:b/>
          <w:bCs/>
        </w:rPr>
      </w:pPr>
    </w:p>
    <w:p w14:paraId="53EA5C66" w14:textId="77777777" w:rsidR="00651855" w:rsidRDefault="00651855" w:rsidP="00DD5881">
      <w:pPr>
        <w:spacing w:line="360" w:lineRule="auto"/>
        <w:rPr>
          <w:rFonts w:ascii="Calibri" w:hAnsi="Calibri" w:cs="Calibri"/>
          <w:b/>
          <w:bCs/>
        </w:rPr>
      </w:pPr>
    </w:p>
    <w:p w14:paraId="66BA5A8F" w14:textId="77777777" w:rsidR="00651855" w:rsidRDefault="00651855" w:rsidP="00DD5881">
      <w:pPr>
        <w:spacing w:line="360" w:lineRule="auto"/>
        <w:rPr>
          <w:rFonts w:ascii="Calibri" w:hAnsi="Calibri" w:cs="Calibri"/>
          <w:b/>
          <w:bCs/>
        </w:rPr>
      </w:pPr>
    </w:p>
    <w:p w14:paraId="127BD20E" w14:textId="77777777" w:rsidR="00CE1C75" w:rsidRPr="00CE1C75" w:rsidRDefault="00CE1C75" w:rsidP="00DD5881">
      <w:pPr>
        <w:spacing w:line="360" w:lineRule="auto"/>
        <w:rPr>
          <w:rFonts w:ascii="Calibri" w:hAnsi="Calibri" w:cs="Calibri"/>
          <w:b/>
          <w:bCs/>
        </w:rPr>
      </w:pPr>
    </w:p>
    <w:p w14:paraId="02CFC6DD" w14:textId="5FD0AB6A" w:rsidR="00F651D2" w:rsidRDefault="00A44A1D" w:rsidP="00DD5881">
      <w:pPr>
        <w:spacing w:line="360" w:lineRule="auto"/>
        <w:rPr>
          <w:rFonts w:ascii="Calibri" w:hAnsi="Calibri" w:cs="Calibri"/>
        </w:rPr>
      </w:pPr>
      <w:r w:rsidRPr="00467898">
        <w:rPr>
          <w:rFonts w:ascii="Calibri" w:hAnsi="Calibri" w:cs="Calibri"/>
          <w:b/>
          <w:bCs/>
        </w:rPr>
        <w:t>Plain Language Summary</w:t>
      </w:r>
      <w:r w:rsidRPr="00467898">
        <w:rPr>
          <w:rFonts w:ascii="Calibri" w:hAnsi="Calibri" w:cs="Calibri"/>
        </w:rPr>
        <w:t xml:space="preserve"> </w:t>
      </w:r>
    </w:p>
    <w:p w14:paraId="108C20FB" w14:textId="77777777" w:rsidR="001571CA" w:rsidRPr="001571CA" w:rsidRDefault="001571CA" w:rsidP="001571CA">
      <w:pPr>
        <w:spacing w:line="360" w:lineRule="auto"/>
        <w:rPr>
          <w:rFonts w:ascii="Calibri" w:hAnsi="Calibri" w:cs="Calibri"/>
        </w:rPr>
      </w:pPr>
    </w:p>
    <w:p w14:paraId="463FF193" w14:textId="557CC41F" w:rsidR="001571CA" w:rsidRPr="001571CA" w:rsidRDefault="001571CA" w:rsidP="001571CA">
      <w:pPr>
        <w:spacing w:line="360" w:lineRule="auto"/>
        <w:rPr>
          <w:rFonts w:ascii="Calibri" w:hAnsi="Calibri" w:cs="Calibri"/>
        </w:rPr>
      </w:pPr>
      <w:r w:rsidRPr="001571CA">
        <w:rPr>
          <w:rFonts w:ascii="Calibri" w:hAnsi="Calibri" w:cs="Calibri"/>
        </w:rPr>
        <w:t xml:space="preserve">Scotland has one of the highest drug-related death rates in Europe. Many </w:t>
      </w:r>
      <w:r w:rsidR="001D69A2" w:rsidRPr="001D69A2">
        <w:rPr>
          <w:rFonts w:ascii="Calibri" w:hAnsi="Calibri" w:cs="Calibri"/>
        </w:rPr>
        <w:t xml:space="preserve">individuals </w:t>
      </w:r>
      <w:r w:rsidRPr="001571CA">
        <w:rPr>
          <w:rFonts w:ascii="Calibri" w:hAnsi="Calibri" w:cs="Calibri"/>
        </w:rPr>
        <w:t>who use opioids</w:t>
      </w:r>
      <w:r w:rsidR="0051484C">
        <w:rPr>
          <w:rFonts w:ascii="Calibri" w:hAnsi="Calibri" w:cs="Calibri" w:hint="eastAsia"/>
        </w:rPr>
        <w:t xml:space="preserve"> </w:t>
      </w:r>
      <w:r w:rsidRPr="001571CA">
        <w:rPr>
          <w:rFonts w:ascii="Calibri" w:hAnsi="Calibri" w:cs="Calibri"/>
        </w:rPr>
        <w:t xml:space="preserve">also use other drugs at the same time. One combination of concern is cocaine and opioids (C&amp;O), because it can increase health risks. Cocaine can place strain on the heart and blood vessels, while opioids </w:t>
      </w:r>
      <w:r w:rsidR="00116151">
        <w:rPr>
          <w:rFonts w:ascii="Calibri" w:hAnsi="Calibri" w:cs="Calibri" w:hint="eastAsia"/>
        </w:rPr>
        <w:t>also</w:t>
      </w:r>
      <w:r w:rsidR="00CC3D0B">
        <w:rPr>
          <w:rFonts w:ascii="Calibri" w:hAnsi="Calibri" w:cs="Calibri" w:hint="eastAsia"/>
        </w:rPr>
        <w:t xml:space="preserve"> </w:t>
      </w:r>
      <w:r w:rsidR="00CC3D0B" w:rsidRPr="001571CA">
        <w:rPr>
          <w:rFonts w:ascii="Calibri" w:hAnsi="Calibri" w:cs="Calibri"/>
        </w:rPr>
        <w:t>can</w:t>
      </w:r>
      <w:r w:rsidRPr="001571CA">
        <w:rPr>
          <w:rFonts w:ascii="Calibri" w:hAnsi="Calibri" w:cs="Calibri"/>
        </w:rPr>
        <w:t xml:space="preserve"> affect heart function. </w:t>
      </w:r>
      <w:r w:rsidR="00713656" w:rsidRPr="00713656">
        <w:rPr>
          <w:rFonts w:ascii="Calibri" w:hAnsi="Calibri" w:cs="Calibri"/>
        </w:rPr>
        <w:t xml:space="preserve">Cocaine, as a stimulant, can mask the sedative effect of opioids. When used together, they can lead </w:t>
      </w:r>
      <w:r w:rsidR="00C3003B">
        <w:rPr>
          <w:rFonts w:ascii="Calibri" w:hAnsi="Calibri" w:cs="Calibri"/>
        </w:rPr>
        <w:t>individuals</w:t>
      </w:r>
      <w:r w:rsidR="00713656" w:rsidRPr="00713656">
        <w:rPr>
          <w:rFonts w:ascii="Calibri" w:hAnsi="Calibri" w:cs="Calibri"/>
        </w:rPr>
        <w:t xml:space="preserve"> to take higher doses, increasing the risk of overdose or other serious problems.</w:t>
      </w:r>
    </w:p>
    <w:p w14:paraId="50CD4C3F" w14:textId="721431A9" w:rsidR="001571CA" w:rsidRPr="001571CA" w:rsidRDefault="001571CA" w:rsidP="001571CA">
      <w:pPr>
        <w:spacing w:line="360" w:lineRule="auto"/>
        <w:rPr>
          <w:rFonts w:ascii="Calibri" w:hAnsi="Calibri" w:cs="Calibri"/>
        </w:rPr>
      </w:pPr>
      <w:r w:rsidRPr="001571CA">
        <w:rPr>
          <w:rFonts w:ascii="Calibri" w:hAnsi="Calibri" w:cs="Calibri"/>
        </w:rPr>
        <w:t xml:space="preserve">This study looked at patterns of C&amp;O dependence and related health harms in </w:t>
      </w:r>
      <w:r w:rsidR="00EE12BC" w:rsidRPr="00EE12BC">
        <w:rPr>
          <w:rFonts w:ascii="Calibri" w:hAnsi="Calibri" w:cs="Calibri"/>
        </w:rPr>
        <w:t xml:space="preserve">individuals </w:t>
      </w:r>
      <w:r w:rsidRPr="001571CA">
        <w:rPr>
          <w:rFonts w:ascii="Calibri" w:hAnsi="Calibri" w:cs="Calibri"/>
        </w:rPr>
        <w:t xml:space="preserve">in Scotland who were receiving opioid agonist therapy (OAT), a standard treatment for opioid dependence. We used data from national health records collected between 2015 and 2022. </w:t>
      </w:r>
      <w:r w:rsidRPr="001571CA">
        <w:rPr>
          <w:rFonts w:ascii="Calibri" w:hAnsi="Calibri" w:cs="Calibri"/>
        </w:rPr>
        <w:lastRenderedPageBreak/>
        <w:t xml:space="preserve">We included 37,409 </w:t>
      </w:r>
      <w:r w:rsidR="00EE12BC" w:rsidRPr="00EE12BC">
        <w:rPr>
          <w:rFonts w:ascii="Calibri" w:hAnsi="Calibri" w:cs="Calibri"/>
        </w:rPr>
        <w:t xml:space="preserve">individuals </w:t>
      </w:r>
      <w:r w:rsidRPr="001571CA">
        <w:rPr>
          <w:rFonts w:ascii="Calibri" w:hAnsi="Calibri" w:cs="Calibri"/>
        </w:rPr>
        <w:t>aged 15–64</w:t>
      </w:r>
      <w:r w:rsidR="002A2DFC">
        <w:rPr>
          <w:rFonts w:ascii="Calibri" w:hAnsi="Calibri" w:cs="Calibri" w:hint="eastAsia"/>
        </w:rPr>
        <w:t xml:space="preserve"> with</w:t>
      </w:r>
      <w:r w:rsidRPr="001571CA">
        <w:rPr>
          <w:rFonts w:ascii="Calibri" w:hAnsi="Calibri" w:cs="Calibri"/>
        </w:rPr>
        <w:t xml:space="preserve"> </w:t>
      </w:r>
      <w:r w:rsidR="002A2DFC" w:rsidRPr="002A2DFC">
        <w:rPr>
          <w:rFonts w:ascii="Calibri" w:hAnsi="Calibri" w:cs="Calibri"/>
        </w:rPr>
        <w:t>at least one OAT</w:t>
      </w:r>
      <w:r w:rsidR="002A2DFC">
        <w:rPr>
          <w:rFonts w:ascii="Calibri" w:hAnsi="Calibri" w:cs="Calibri" w:hint="eastAsia"/>
        </w:rPr>
        <w:t xml:space="preserve"> </w:t>
      </w:r>
      <w:r w:rsidR="002A2DFC" w:rsidRPr="002A2DFC">
        <w:rPr>
          <w:rFonts w:ascii="Calibri" w:hAnsi="Calibri" w:cs="Calibri"/>
        </w:rPr>
        <w:t>prescription</w:t>
      </w:r>
      <w:r w:rsidRPr="001571CA">
        <w:rPr>
          <w:rFonts w:ascii="Calibri" w:hAnsi="Calibri" w:cs="Calibri"/>
        </w:rPr>
        <w:t xml:space="preserve">. We compared </w:t>
      </w:r>
      <w:r w:rsidR="00C3003B">
        <w:rPr>
          <w:rFonts w:ascii="Calibri" w:hAnsi="Calibri" w:cs="Calibri"/>
        </w:rPr>
        <w:t>individuals</w:t>
      </w:r>
      <w:r w:rsidRPr="001571CA">
        <w:rPr>
          <w:rFonts w:ascii="Calibri" w:hAnsi="Calibri" w:cs="Calibri"/>
        </w:rPr>
        <w:t xml:space="preserve"> who used opioids only with those who also used cocaine. We </w:t>
      </w:r>
      <w:r w:rsidR="002A2DFC">
        <w:rPr>
          <w:rFonts w:ascii="Calibri" w:hAnsi="Calibri" w:cs="Calibri" w:hint="eastAsia"/>
        </w:rPr>
        <w:t>focus on</w:t>
      </w:r>
      <w:r w:rsidR="003E4C80">
        <w:rPr>
          <w:rFonts w:ascii="Calibri" w:hAnsi="Calibri" w:cs="Calibri" w:hint="eastAsia"/>
        </w:rPr>
        <w:t xml:space="preserve"> four</w:t>
      </w:r>
      <w:r w:rsidRPr="001571CA">
        <w:rPr>
          <w:rFonts w:ascii="Calibri" w:hAnsi="Calibri" w:cs="Calibri"/>
        </w:rPr>
        <w:t xml:space="preserve"> health outcomes: drug-related deaths, </w:t>
      </w:r>
      <w:r w:rsidR="003E1997" w:rsidRPr="003E1997">
        <w:rPr>
          <w:rFonts w:ascii="Calibri" w:hAnsi="Calibri" w:cs="Calibri"/>
        </w:rPr>
        <w:t>all-cause mortality</w:t>
      </w:r>
      <w:r w:rsidRPr="001571CA">
        <w:rPr>
          <w:rFonts w:ascii="Calibri" w:hAnsi="Calibri" w:cs="Calibri"/>
        </w:rPr>
        <w:t xml:space="preserve">, non-fatal overdoses (where someone is taken to hospital but survives), and </w:t>
      </w:r>
      <w:r w:rsidR="00E049E4" w:rsidRPr="00E049E4">
        <w:rPr>
          <w:rFonts w:ascii="Calibri" w:hAnsi="Calibri" w:cs="Calibri"/>
        </w:rPr>
        <w:t>cardiovascular mortality</w:t>
      </w:r>
      <w:r w:rsidRPr="001571CA">
        <w:rPr>
          <w:rFonts w:ascii="Calibri" w:hAnsi="Calibri" w:cs="Calibri"/>
        </w:rPr>
        <w:t>.</w:t>
      </w:r>
    </w:p>
    <w:p w14:paraId="77CF3C23" w14:textId="123AC9ED" w:rsidR="001571CA" w:rsidRPr="001571CA" w:rsidRDefault="001571CA" w:rsidP="001571CA">
      <w:pPr>
        <w:spacing w:line="360" w:lineRule="auto"/>
        <w:rPr>
          <w:rFonts w:ascii="Calibri" w:hAnsi="Calibri" w:cs="Calibri"/>
        </w:rPr>
      </w:pPr>
      <w:r w:rsidRPr="001571CA">
        <w:rPr>
          <w:rFonts w:ascii="Calibri" w:hAnsi="Calibri" w:cs="Calibri"/>
        </w:rPr>
        <w:t xml:space="preserve">We found that about 1 in 5 </w:t>
      </w:r>
      <w:r w:rsidR="00EE12BC" w:rsidRPr="00EE12BC">
        <w:rPr>
          <w:rFonts w:ascii="Calibri" w:hAnsi="Calibri" w:cs="Calibri"/>
        </w:rPr>
        <w:t xml:space="preserve">individuals </w:t>
      </w:r>
      <w:r w:rsidRPr="001571CA">
        <w:rPr>
          <w:rFonts w:ascii="Calibri" w:hAnsi="Calibri" w:cs="Calibri"/>
        </w:rPr>
        <w:t xml:space="preserve">(21.6%) receiving OAT also used cocaine. This group was more likely to experience a non-fatal overdose than </w:t>
      </w:r>
      <w:r w:rsidR="00EE12BC" w:rsidRPr="00EE12BC">
        <w:rPr>
          <w:rFonts w:ascii="Calibri" w:hAnsi="Calibri" w:cs="Calibri"/>
        </w:rPr>
        <w:t xml:space="preserve">individuals </w:t>
      </w:r>
      <w:r w:rsidRPr="001571CA">
        <w:rPr>
          <w:rFonts w:ascii="Calibri" w:hAnsi="Calibri" w:cs="Calibri"/>
        </w:rPr>
        <w:t xml:space="preserve">who only used opioids, even after accounting for differences in age, sex, </w:t>
      </w:r>
      <w:r w:rsidR="00AB018D" w:rsidRPr="00AB018D">
        <w:rPr>
          <w:rFonts w:ascii="Calibri" w:hAnsi="Calibri" w:cs="Calibri"/>
        </w:rPr>
        <w:t>region</w:t>
      </w:r>
      <w:r w:rsidRPr="001571CA">
        <w:rPr>
          <w:rFonts w:ascii="Calibri" w:hAnsi="Calibri" w:cs="Calibri"/>
        </w:rPr>
        <w:t xml:space="preserve">, and </w:t>
      </w:r>
      <w:r w:rsidR="00AB018D" w:rsidRPr="00AB018D">
        <w:rPr>
          <w:rFonts w:ascii="Calibri" w:hAnsi="Calibri" w:cs="Calibri"/>
        </w:rPr>
        <w:t>accommodation status</w:t>
      </w:r>
      <w:r w:rsidRPr="001571CA">
        <w:rPr>
          <w:rFonts w:ascii="Calibri" w:hAnsi="Calibri" w:cs="Calibri"/>
        </w:rPr>
        <w:t xml:space="preserve">. The highest overdose risk was in young men aged 15–34. However, </w:t>
      </w:r>
      <w:r w:rsidR="00C3003B">
        <w:rPr>
          <w:rFonts w:ascii="Calibri" w:hAnsi="Calibri" w:cs="Calibri"/>
        </w:rPr>
        <w:t>individuals</w:t>
      </w:r>
      <w:r w:rsidRPr="001571CA">
        <w:rPr>
          <w:rFonts w:ascii="Calibri" w:hAnsi="Calibri" w:cs="Calibri"/>
        </w:rPr>
        <w:t xml:space="preserve"> with C&amp;O dependence had a lower rate of </w:t>
      </w:r>
      <w:r w:rsidR="00C3003B">
        <w:rPr>
          <w:rFonts w:ascii="Calibri" w:hAnsi="Calibri" w:cs="Calibri"/>
        </w:rPr>
        <w:t>cardiovascular mortality</w:t>
      </w:r>
      <w:r w:rsidRPr="001571CA">
        <w:rPr>
          <w:rFonts w:ascii="Calibri" w:hAnsi="Calibri" w:cs="Calibri"/>
        </w:rPr>
        <w:t xml:space="preserve"> compared with those using only opioids. </w:t>
      </w:r>
      <w:r w:rsidR="00442033" w:rsidRPr="00442033">
        <w:rPr>
          <w:rFonts w:ascii="Calibri" w:hAnsi="Calibri" w:cs="Calibri"/>
        </w:rPr>
        <w:t xml:space="preserve">Once all other factors were </w:t>
      </w:r>
      <w:r w:rsidR="00EE2DE5" w:rsidRPr="00442033">
        <w:rPr>
          <w:rFonts w:ascii="Calibri" w:hAnsi="Calibri" w:cs="Calibri"/>
        </w:rPr>
        <w:t>considered</w:t>
      </w:r>
      <w:r w:rsidR="00442033" w:rsidRPr="00442033">
        <w:rPr>
          <w:rFonts w:ascii="Calibri" w:hAnsi="Calibri" w:cs="Calibri"/>
        </w:rPr>
        <w:t>, there was no difference in the risk of drug-related death</w:t>
      </w:r>
      <w:r w:rsidR="00C3003B">
        <w:rPr>
          <w:rFonts w:ascii="Calibri" w:hAnsi="Calibri" w:cs="Calibri" w:hint="eastAsia"/>
        </w:rPr>
        <w:t>s</w:t>
      </w:r>
      <w:r w:rsidR="00442033" w:rsidRPr="00442033">
        <w:rPr>
          <w:rFonts w:ascii="Calibri" w:hAnsi="Calibri" w:cs="Calibri"/>
        </w:rPr>
        <w:t xml:space="preserve"> between the two groups.</w:t>
      </w:r>
    </w:p>
    <w:p w14:paraId="77A851EA" w14:textId="13EBA8DF" w:rsidR="001571CA" w:rsidRPr="001571CA" w:rsidRDefault="001571CA" w:rsidP="001571CA">
      <w:pPr>
        <w:spacing w:line="360" w:lineRule="auto"/>
        <w:rPr>
          <w:rFonts w:ascii="Calibri" w:hAnsi="Calibri" w:cs="Calibri"/>
        </w:rPr>
      </w:pPr>
      <w:r w:rsidRPr="001571CA">
        <w:rPr>
          <w:rFonts w:ascii="Calibri" w:hAnsi="Calibri" w:cs="Calibri"/>
        </w:rPr>
        <w:t>Across all groups, older age, homelessness, and living in certain areas (such as Tayside) were linked to higher risks of death. Men generally had higher risks of cardiovascular death than women, especially in the middle-aged and older groups.</w:t>
      </w:r>
    </w:p>
    <w:p w14:paraId="6386C73E" w14:textId="6AF6D702" w:rsidR="00E049E4" w:rsidRDefault="00F75F55" w:rsidP="00DD5881">
      <w:pPr>
        <w:spacing w:line="360" w:lineRule="auto"/>
        <w:rPr>
          <w:rFonts w:ascii="Calibri" w:hAnsi="Calibri" w:cs="Calibri"/>
        </w:rPr>
      </w:pPr>
      <w:r w:rsidRPr="00F75F55">
        <w:rPr>
          <w:rFonts w:ascii="Calibri" w:hAnsi="Calibri" w:cs="Calibri"/>
        </w:rPr>
        <w:t xml:space="preserve">These results suggest that </w:t>
      </w:r>
      <w:r w:rsidR="00DD516F">
        <w:rPr>
          <w:rFonts w:ascii="Calibri" w:hAnsi="Calibri" w:cs="Calibri" w:hint="eastAsia"/>
        </w:rPr>
        <w:t>s</w:t>
      </w:r>
      <w:r w:rsidRPr="00F75F55">
        <w:rPr>
          <w:rFonts w:ascii="Calibri" w:hAnsi="Calibri" w:cs="Calibri"/>
        </w:rPr>
        <w:t xml:space="preserve">ocial care providers should take age, gender into account when designing services. Solving </w:t>
      </w:r>
      <w:r w:rsidR="00801728" w:rsidRPr="00801728">
        <w:rPr>
          <w:rFonts w:ascii="Calibri" w:hAnsi="Calibri" w:cs="Calibri"/>
        </w:rPr>
        <w:t>accommodation</w:t>
      </w:r>
      <w:r w:rsidRPr="00F75F55">
        <w:rPr>
          <w:rFonts w:ascii="Calibri" w:hAnsi="Calibri" w:cs="Calibri"/>
        </w:rPr>
        <w:t xml:space="preserve"> and regional problems is </w:t>
      </w:r>
      <w:r w:rsidR="00A33D11">
        <w:rPr>
          <w:rFonts w:ascii="Calibri" w:hAnsi="Calibri" w:cs="Calibri"/>
        </w:rPr>
        <w:t>also</w:t>
      </w:r>
      <w:r w:rsidR="00A33D11" w:rsidRPr="00F75F55">
        <w:rPr>
          <w:rFonts w:ascii="Calibri" w:hAnsi="Calibri" w:cs="Calibri"/>
        </w:rPr>
        <w:t xml:space="preserve"> important</w:t>
      </w:r>
      <w:r w:rsidRPr="00F75F55">
        <w:rPr>
          <w:rFonts w:ascii="Calibri" w:hAnsi="Calibri" w:cs="Calibri"/>
        </w:rPr>
        <w:t xml:space="preserve"> for reducing drug-related harm in Scotland.</w:t>
      </w:r>
    </w:p>
    <w:p w14:paraId="735D7DCE" w14:textId="77777777" w:rsidR="000D3DE3" w:rsidRPr="00467898" w:rsidRDefault="000D3DE3" w:rsidP="00DD5881">
      <w:pPr>
        <w:spacing w:line="360" w:lineRule="auto"/>
        <w:rPr>
          <w:rFonts w:ascii="Calibri" w:hAnsi="Calibri" w:cs="Calibri"/>
        </w:rPr>
      </w:pPr>
    </w:p>
    <w:p w14:paraId="02CFC6E7" w14:textId="77777777" w:rsidR="00F651D2" w:rsidRDefault="00A44A1D" w:rsidP="00DD5881">
      <w:pPr>
        <w:spacing w:line="360" w:lineRule="auto"/>
        <w:rPr>
          <w:rFonts w:ascii="Calibri" w:hAnsi="Calibri" w:cs="Calibri"/>
          <w:b/>
          <w:bCs/>
        </w:rPr>
      </w:pPr>
      <w:r w:rsidRPr="00467898">
        <w:rPr>
          <w:rFonts w:ascii="Calibri" w:hAnsi="Calibri" w:cs="Calibri"/>
          <w:b/>
          <w:bCs/>
        </w:rPr>
        <w:t>Abstract</w:t>
      </w:r>
    </w:p>
    <w:p w14:paraId="190DE6D3" w14:textId="77777777" w:rsidR="00614DF4" w:rsidRPr="00467898" w:rsidRDefault="00614DF4" w:rsidP="00DD5881">
      <w:pPr>
        <w:spacing w:line="360" w:lineRule="auto"/>
        <w:rPr>
          <w:rFonts w:ascii="Calibri" w:hAnsi="Calibri" w:cs="Calibri"/>
          <w:b/>
          <w:bCs/>
        </w:rPr>
      </w:pPr>
    </w:p>
    <w:p w14:paraId="27DBB758" w14:textId="49A8AE7D" w:rsidR="00AF6853" w:rsidRPr="00114AAA" w:rsidRDefault="00AF6853" w:rsidP="00AF6853">
      <w:pPr>
        <w:spacing w:line="360" w:lineRule="auto"/>
        <w:rPr>
          <w:rFonts w:ascii="Calibri" w:hAnsi="Calibri" w:cs="Calibri"/>
          <w:i/>
          <w:iCs/>
        </w:rPr>
      </w:pPr>
      <w:r w:rsidRPr="00114AAA">
        <w:rPr>
          <w:rFonts w:ascii="Calibri" w:hAnsi="Calibri" w:cs="Calibri"/>
          <w:i/>
          <w:iCs/>
        </w:rPr>
        <w:t>Background</w:t>
      </w:r>
    </w:p>
    <w:p w14:paraId="331585B5" w14:textId="0151864B" w:rsidR="00AF6853" w:rsidRPr="00AF6853" w:rsidRDefault="00AF6853" w:rsidP="00AF6853">
      <w:pPr>
        <w:spacing w:line="360" w:lineRule="auto"/>
        <w:rPr>
          <w:rFonts w:ascii="Calibri" w:hAnsi="Calibri" w:cs="Calibri"/>
        </w:rPr>
      </w:pPr>
      <w:r w:rsidRPr="00AF6853">
        <w:rPr>
          <w:rFonts w:ascii="Calibri" w:hAnsi="Calibri" w:cs="Calibri"/>
        </w:rPr>
        <w:t>Scotland has one of the highest drug-related mortality rates in Europe, with opioid dependence affecting over 1% of the adult population. Polydrug use, particularly concurrent cocaine and opioid (C&amp;O) dependence, is increasingly prevalent among socially vulnerable groups, potentially exacerbating risks of overdose, cardiovascular harm, and premature mortality.</w:t>
      </w:r>
    </w:p>
    <w:p w14:paraId="5BB74951" w14:textId="77777777" w:rsidR="00AF6853" w:rsidRPr="00AF6853" w:rsidRDefault="00AF6853" w:rsidP="00AF6853">
      <w:pPr>
        <w:spacing w:line="360" w:lineRule="auto"/>
        <w:rPr>
          <w:rFonts w:ascii="Calibri" w:hAnsi="Calibri" w:cs="Calibri"/>
        </w:rPr>
      </w:pPr>
    </w:p>
    <w:p w14:paraId="21849D17" w14:textId="10DA0C20" w:rsidR="00AF6853" w:rsidRPr="00114AAA" w:rsidRDefault="00AF6853" w:rsidP="00AF6853">
      <w:pPr>
        <w:spacing w:line="360" w:lineRule="auto"/>
        <w:rPr>
          <w:rFonts w:ascii="Calibri" w:hAnsi="Calibri" w:cs="Calibri"/>
          <w:i/>
          <w:iCs/>
        </w:rPr>
      </w:pPr>
      <w:r w:rsidRPr="00114AAA">
        <w:rPr>
          <w:rFonts w:ascii="Calibri" w:hAnsi="Calibri" w:cs="Calibri"/>
          <w:i/>
          <w:iCs/>
        </w:rPr>
        <w:t>Methods</w:t>
      </w:r>
    </w:p>
    <w:p w14:paraId="778B4E13" w14:textId="25D1EE35" w:rsidR="00AF6853" w:rsidRPr="00AF6853" w:rsidRDefault="00AF6853" w:rsidP="00AF6853">
      <w:pPr>
        <w:spacing w:line="360" w:lineRule="auto"/>
        <w:rPr>
          <w:rFonts w:ascii="Calibri" w:hAnsi="Calibri" w:cs="Calibri"/>
        </w:rPr>
      </w:pPr>
      <w:r w:rsidRPr="00AF6853">
        <w:rPr>
          <w:rFonts w:ascii="Calibri" w:hAnsi="Calibri" w:cs="Calibri"/>
        </w:rPr>
        <w:lastRenderedPageBreak/>
        <w:t>We conducted a retrospective cohort study using linked national datasets (2015–2022) to examine patterns of C&amp;O dependence and associated harms among individuals aged 15–64 receiving opioid agonist therapy (OAT). Outcomes included drug-related deaths (DRD), all-cause mortality (ACM), non-fatal overdose (NFOD), and cardiovascular mortality (CVD).</w:t>
      </w:r>
      <w:r w:rsidR="00F31371">
        <w:rPr>
          <w:rFonts w:ascii="Calibri" w:hAnsi="Calibri" w:cs="Calibri" w:hint="eastAsia"/>
        </w:rPr>
        <w:t xml:space="preserve"> </w:t>
      </w:r>
      <w:r w:rsidRPr="00AF6853">
        <w:rPr>
          <w:rFonts w:ascii="Calibri" w:hAnsi="Calibri" w:cs="Calibri"/>
        </w:rPr>
        <w:t>Poisson regression estimated incidence rate ratios (IRR), adjusting for age, sex, calendar year, region, and accommodation status.</w:t>
      </w:r>
    </w:p>
    <w:p w14:paraId="363F1D1F" w14:textId="77777777" w:rsidR="00AF6853" w:rsidRPr="00AF6853" w:rsidRDefault="00AF6853" w:rsidP="00AF6853">
      <w:pPr>
        <w:spacing w:line="360" w:lineRule="auto"/>
        <w:rPr>
          <w:rFonts w:ascii="Calibri" w:hAnsi="Calibri" w:cs="Calibri"/>
        </w:rPr>
      </w:pPr>
    </w:p>
    <w:p w14:paraId="2E4D0F98" w14:textId="4B65A4AE" w:rsidR="00AF6853" w:rsidRPr="00AF6853" w:rsidRDefault="00AF6853" w:rsidP="00AF6853">
      <w:pPr>
        <w:spacing w:line="360" w:lineRule="auto"/>
        <w:rPr>
          <w:rFonts w:ascii="Calibri" w:hAnsi="Calibri" w:cs="Calibri"/>
        </w:rPr>
      </w:pPr>
      <w:r w:rsidRPr="00114AAA">
        <w:rPr>
          <w:rFonts w:ascii="Calibri" w:hAnsi="Calibri" w:cs="Calibri"/>
          <w:i/>
          <w:iCs/>
        </w:rPr>
        <w:t>Results</w:t>
      </w:r>
    </w:p>
    <w:p w14:paraId="5D5C122F" w14:textId="10392842" w:rsidR="00AF6853" w:rsidRPr="00AF6853" w:rsidRDefault="00AF6853" w:rsidP="00AF6853">
      <w:pPr>
        <w:spacing w:line="360" w:lineRule="auto"/>
        <w:rPr>
          <w:rFonts w:ascii="Calibri" w:hAnsi="Calibri" w:cs="Calibri"/>
        </w:rPr>
      </w:pPr>
      <w:r w:rsidRPr="00AF6853">
        <w:rPr>
          <w:rFonts w:ascii="Calibri" w:hAnsi="Calibri" w:cs="Calibri"/>
        </w:rPr>
        <w:t xml:space="preserve">Among 37,409 OAT recipients, 21.6% had C&amp;O dependence. C&amp;O </w:t>
      </w:r>
      <w:r w:rsidR="00010D83" w:rsidRPr="00AF6853">
        <w:rPr>
          <w:rFonts w:ascii="Calibri" w:hAnsi="Calibri" w:cs="Calibri"/>
        </w:rPr>
        <w:t xml:space="preserve">dependence </w:t>
      </w:r>
      <w:r w:rsidRPr="00AF6853">
        <w:rPr>
          <w:rFonts w:ascii="Calibri" w:hAnsi="Calibri" w:cs="Calibri"/>
        </w:rPr>
        <w:t xml:space="preserve">had significantly higher NFOD rates (adjusted IRR = 1.68, 95% CI 1.61–1.75), particularly among males aged 15–34. No significant adjusted difference in DRD risk was observed between groups. C&amp;O </w:t>
      </w:r>
      <w:r w:rsidR="00010D83" w:rsidRPr="00AF6853">
        <w:rPr>
          <w:rFonts w:ascii="Calibri" w:hAnsi="Calibri" w:cs="Calibri"/>
        </w:rPr>
        <w:t xml:space="preserve">dependence </w:t>
      </w:r>
      <w:r w:rsidRPr="00AF6853">
        <w:rPr>
          <w:rFonts w:ascii="Calibri" w:hAnsi="Calibri" w:cs="Calibri"/>
        </w:rPr>
        <w:t>had lower CVD mortality (adjusted IRR = 0.73, 95% CI 0.68–0.78), while age, homelessness, and residence in Tayside or Other NHS regions predicted higher mortality across outcomes. Interaction analyses revealed greater CVD risk in middle-aged and older males compared to females.</w:t>
      </w:r>
    </w:p>
    <w:p w14:paraId="3032785B" w14:textId="77777777" w:rsidR="00AF6853" w:rsidRPr="00AF6853" w:rsidRDefault="00AF6853" w:rsidP="00AF6853">
      <w:pPr>
        <w:spacing w:line="360" w:lineRule="auto"/>
        <w:rPr>
          <w:rFonts w:ascii="Calibri" w:hAnsi="Calibri" w:cs="Calibri"/>
        </w:rPr>
      </w:pPr>
    </w:p>
    <w:p w14:paraId="1B400863" w14:textId="63FA2EDC" w:rsidR="00AF6853" w:rsidRPr="00114AAA" w:rsidRDefault="00AF6853" w:rsidP="00AF6853">
      <w:pPr>
        <w:spacing w:line="360" w:lineRule="auto"/>
        <w:rPr>
          <w:rFonts w:ascii="Calibri" w:hAnsi="Calibri" w:cs="Calibri"/>
          <w:i/>
          <w:iCs/>
        </w:rPr>
      </w:pPr>
      <w:r w:rsidRPr="00114AAA">
        <w:rPr>
          <w:rFonts w:ascii="Calibri" w:hAnsi="Calibri" w:cs="Calibri"/>
          <w:i/>
          <w:iCs/>
        </w:rPr>
        <w:t>Conclusion</w:t>
      </w:r>
    </w:p>
    <w:p w14:paraId="02CFC6ED" w14:textId="430CF542" w:rsidR="00F651D2" w:rsidRDefault="00AF6853" w:rsidP="00AF6853">
      <w:pPr>
        <w:spacing w:line="360" w:lineRule="auto"/>
        <w:rPr>
          <w:rFonts w:ascii="Calibri" w:hAnsi="Calibri" w:cs="Calibri"/>
        </w:rPr>
      </w:pPr>
      <w:r w:rsidRPr="00AF6853">
        <w:rPr>
          <w:rFonts w:ascii="Calibri" w:hAnsi="Calibri" w:cs="Calibri"/>
        </w:rPr>
        <w:t xml:space="preserve">C&amp;O dependence in OAT </w:t>
      </w:r>
      <w:r w:rsidR="00B16480" w:rsidRPr="00BB72A7">
        <w:rPr>
          <w:rFonts w:ascii="Calibri" w:hAnsi="Calibri" w:cs="Calibri"/>
        </w:rPr>
        <w:t xml:space="preserve">individuals </w:t>
      </w:r>
      <w:r w:rsidRPr="00AF6853">
        <w:rPr>
          <w:rFonts w:ascii="Calibri" w:hAnsi="Calibri" w:cs="Calibri"/>
        </w:rPr>
        <w:t>is strongly linked to elevated NFOD risk, especially among younger men, but to lower CVD mortality compared with opioid-only. Targeted harm reduction, age and sex</w:t>
      </w:r>
      <w:r w:rsidR="00B16480">
        <w:rPr>
          <w:rFonts w:ascii="Calibri" w:hAnsi="Calibri" w:cs="Calibri" w:hint="eastAsia"/>
        </w:rPr>
        <w:t xml:space="preserve"> </w:t>
      </w:r>
      <w:r w:rsidRPr="00AF6853">
        <w:rPr>
          <w:rFonts w:ascii="Calibri" w:hAnsi="Calibri" w:cs="Calibri"/>
        </w:rPr>
        <w:t>sensitive interventions, and strategies addressing homelessness and regional disparities are critical to reducing drug-related harms in Scotland.</w:t>
      </w:r>
    </w:p>
    <w:p w14:paraId="675C6C8B" w14:textId="77777777" w:rsidR="00AF6853" w:rsidRPr="00467898" w:rsidRDefault="00AF6853" w:rsidP="00AF6853">
      <w:pPr>
        <w:spacing w:line="360" w:lineRule="auto"/>
        <w:rPr>
          <w:rFonts w:ascii="Calibri" w:hAnsi="Calibri" w:cs="Calibri"/>
        </w:rPr>
      </w:pPr>
    </w:p>
    <w:p w14:paraId="02CFC6F0" w14:textId="38061D1D" w:rsidR="00F651D2" w:rsidRDefault="00A44A1D" w:rsidP="00DD5881">
      <w:pPr>
        <w:spacing w:line="360" w:lineRule="auto"/>
        <w:rPr>
          <w:rFonts w:ascii="Calibri" w:hAnsi="Calibri" w:cs="Calibri"/>
          <w:b/>
          <w:bCs/>
        </w:rPr>
      </w:pPr>
      <w:r w:rsidRPr="00467898">
        <w:rPr>
          <w:rFonts w:ascii="Calibri" w:hAnsi="Calibri" w:cs="Calibri"/>
          <w:b/>
          <w:bCs/>
        </w:rPr>
        <w:t>Background</w:t>
      </w:r>
    </w:p>
    <w:p w14:paraId="131FE450" w14:textId="77777777" w:rsidR="00042F4F" w:rsidRPr="00467898" w:rsidRDefault="00042F4F" w:rsidP="00DD5881">
      <w:pPr>
        <w:spacing w:line="360" w:lineRule="auto"/>
        <w:rPr>
          <w:rFonts w:ascii="Calibri" w:hAnsi="Calibri" w:cs="Calibri"/>
          <w:b/>
          <w:bCs/>
        </w:rPr>
      </w:pPr>
    </w:p>
    <w:p w14:paraId="02CFC6F2" w14:textId="72B69DD9" w:rsidR="00F651D2" w:rsidRPr="00467898" w:rsidRDefault="00A44A1D" w:rsidP="00DD5881">
      <w:pPr>
        <w:spacing w:line="360" w:lineRule="auto"/>
        <w:rPr>
          <w:rFonts w:ascii="Calibri" w:hAnsi="Calibri" w:cs="Calibri"/>
        </w:rPr>
      </w:pPr>
      <w:r w:rsidRPr="00467898">
        <w:rPr>
          <w:rFonts w:ascii="Calibri" w:hAnsi="Calibri" w:cs="Calibri"/>
        </w:rPr>
        <w:t>Scotland has consistently reported one of the highest drug-related mortality rates in Europe</w:t>
      </w:r>
      <w:r w:rsidR="000222C3" w:rsidRPr="00467898">
        <w:rPr>
          <w:rFonts w:ascii="Calibri" w:hAnsi="Calibri" w:cs="Calibri"/>
        </w:rPr>
        <w:t xml:space="preserve"> </w:t>
      </w:r>
      <w:r w:rsidR="00831E0E" w:rsidRPr="00467898">
        <w:rPr>
          <w:rFonts w:ascii="Calibri" w:hAnsi="Calibri" w:cs="Calibri"/>
        </w:rPr>
        <w:t>(</w:t>
      </w:r>
      <w:r w:rsidR="00831E0E" w:rsidRPr="00467898">
        <w:rPr>
          <w:rFonts w:ascii="Calibri" w:hAnsi="Calibri" w:cs="Calibri"/>
          <w:lang w:val="en-US"/>
        </w:rPr>
        <w:t>1</w:t>
      </w:r>
      <w:r w:rsidR="00831E0E" w:rsidRPr="00467898">
        <w:rPr>
          <w:rFonts w:ascii="Calibri" w:hAnsi="Calibri" w:cs="Calibri"/>
        </w:rPr>
        <w:t>)</w:t>
      </w:r>
      <w:r w:rsidRPr="00467898">
        <w:rPr>
          <w:rFonts w:ascii="Calibri" w:hAnsi="Calibri" w:cs="Calibri"/>
        </w:rPr>
        <w:t>. In 2022/23, approximately 1.23% of the Scottish population aged 15–64 was estimated to be opioid</w:t>
      </w:r>
      <w:r w:rsidR="00A46007" w:rsidRPr="00467898">
        <w:rPr>
          <w:rFonts w:ascii="Calibri" w:hAnsi="Calibri" w:cs="Calibri"/>
        </w:rPr>
        <w:t xml:space="preserve"> </w:t>
      </w:r>
      <w:r w:rsidR="008E3055" w:rsidRPr="00467898">
        <w:rPr>
          <w:rFonts w:ascii="Calibri" w:hAnsi="Calibri" w:cs="Calibri"/>
        </w:rPr>
        <w:t xml:space="preserve">dependence </w:t>
      </w:r>
      <w:r w:rsidRPr="00467898">
        <w:rPr>
          <w:rFonts w:ascii="Calibri" w:hAnsi="Calibri" w:cs="Calibri"/>
        </w:rPr>
        <w:t>(</w:t>
      </w:r>
      <w:r w:rsidRPr="00467898">
        <w:rPr>
          <w:rFonts w:ascii="Calibri" w:hAnsi="Calibri" w:cs="Calibri"/>
          <w:lang w:val="en-US"/>
        </w:rPr>
        <w:t>2</w:t>
      </w:r>
      <w:r w:rsidRPr="00467898">
        <w:rPr>
          <w:rFonts w:ascii="Calibri" w:hAnsi="Calibri" w:cs="Calibri"/>
        </w:rPr>
        <w:t xml:space="preserve">). </w:t>
      </w:r>
      <w:r w:rsidR="00642BC4" w:rsidRPr="00467898">
        <w:rPr>
          <w:rFonts w:ascii="Calibri" w:hAnsi="Calibri" w:cs="Calibri"/>
        </w:rPr>
        <w:t xml:space="preserve">In 2020, Scotland had the highest per capita drug-related deaths rate (DRD) in the European Union, with 245 deaths per million people, which was </w:t>
      </w:r>
      <w:r w:rsidR="00642BC4" w:rsidRPr="00467898">
        <w:rPr>
          <w:rFonts w:ascii="Calibri" w:hAnsi="Calibri" w:cs="Calibri"/>
        </w:rPr>
        <w:lastRenderedPageBreak/>
        <w:t xml:space="preserve">more than 3.7 times higher than the overall </w:t>
      </w:r>
      <w:r w:rsidR="00515E13" w:rsidRPr="00467898">
        <w:rPr>
          <w:rFonts w:ascii="Calibri" w:hAnsi="Calibri" w:cs="Calibri"/>
        </w:rPr>
        <w:t xml:space="preserve">deaths </w:t>
      </w:r>
      <w:r w:rsidR="00642BC4" w:rsidRPr="00467898">
        <w:rPr>
          <w:rFonts w:ascii="Calibri" w:hAnsi="Calibri" w:cs="Calibri"/>
        </w:rPr>
        <w:t>rate of 67.1 deaths per million people in the United Kingdom and surpassed most international regions</w:t>
      </w:r>
      <w:r w:rsidR="0045689B" w:rsidRPr="00467898">
        <w:rPr>
          <w:rFonts w:ascii="Calibri" w:hAnsi="Calibri" w:cs="Calibri"/>
        </w:rPr>
        <w:t xml:space="preserve"> (3)</w:t>
      </w:r>
      <w:r w:rsidR="00642BC4" w:rsidRPr="00467898">
        <w:rPr>
          <w:rFonts w:ascii="Calibri" w:hAnsi="Calibri" w:cs="Calibri"/>
        </w:rPr>
        <w:t>.</w:t>
      </w:r>
      <w:r w:rsidR="005431D8" w:rsidRPr="00467898">
        <w:rPr>
          <w:rFonts w:ascii="Calibri" w:hAnsi="Calibri" w:cs="Calibri"/>
        </w:rPr>
        <w:t xml:space="preserve"> </w:t>
      </w:r>
      <w:r w:rsidR="000A33F3" w:rsidRPr="00467898">
        <w:rPr>
          <w:rFonts w:ascii="Calibri" w:hAnsi="Calibri" w:cs="Calibri"/>
        </w:rPr>
        <w:t xml:space="preserve">Although opioid agonist therapy (OAT) remains the cornerstone of harm reduction strategies, an increasing amount of evidence indicates that a considerable proportion of individuals receiving OAT treatment are involved in </w:t>
      </w:r>
      <w:r w:rsidR="00795280" w:rsidRPr="00467898">
        <w:rPr>
          <w:rFonts w:ascii="Calibri" w:hAnsi="Calibri" w:cs="Calibri"/>
        </w:rPr>
        <w:t>polydrug</w:t>
      </w:r>
      <w:r w:rsidR="000A33F3" w:rsidRPr="00467898">
        <w:rPr>
          <w:rFonts w:ascii="Calibri" w:hAnsi="Calibri" w:cs="Calibri"/>
        </w:rPr>
        <w:t xml:space="preserve"> dependence, especially cocaine. This is the reason for the persistently high drug-related </w:t>
      </w:r>
      <w:r w:rsidR="00795280" w:rsidRPr="00467898">
        <w:rPr>
          <w:rFonts w:ascii="Calibri" w:hAnsi="Calibri" w:cs="Calibri"/>
        </w:rPr>
        <w:t xml:space="preserve">deaths </w:t>
      </w:r>
      <w:r w:rsidR="000A33F3" w:rsidRPr="00467898">
        <w:rPr>
          <w:rFonts w:ascii="Calibri" w:hAnsi="Calibri" w:cs="Calibri"/>
        </w:rPr>
        <w:t xml:space="preserve">rate in Scotland, with approximately 90% involving opioids, which are often used in combination with benzodiazepines, </w:t>
      </w:r>
      <w:r w:rsidR="00245A58" w:rsidRPr="00467898">
        <w:rPr>
          <w:rFonts w:ascii="Calibri" w:hAnsi="Calibri" w:cs="Calibri"/>
        </w:rPr>
        <w:t>gabapentinoids</w:t>
      </w:r>
      <w:r w:rsidR="000A33F3" w:rsidRPr="00467898">
        <w:rPr>
          <w:rFonts w:ascii="Calibri" w:hAnsi="Calibri" w:cs="Calibri"/>
        </w:rPr>
        <w:t xml:space="preserve">, cocaine and alcohol. </w:t>
      </w:r>
      <w:r w:rsidR="00245A58" w:rsidRPr="00467898">
        <w:rPr>
          <w:rFonts w:ascii="Calibri" w:hAnsi="Calibri" w:cs="Calibri"/>
        </w:rPr>
        <w:t xml:space="preserve">Polydrug </w:t>
      </w:r>
      <w:r w:rsidR="000A33F3" w:rsidRPr="00467898">
        <w:rPr>
          <w:rFonts w:ascii="Calibri" w:hAnsi="Calibri" w:cs="Calibri"/>
        </w:rPr>
        <w:t>dependence, especially the simultaneous dependence on cocaine and opioids, has become an increasingly serious public health problem (1).</w:t>
      </w:r>
    </w:p>
    <w:p w14:paraId="0A86892B" w14:textId="1257DF64" w:rsidR="003075C7" w:rsidRPr="00467898" w:rsidRDefault="00A44A1D" w:rsidP="00DD5881">
      <w:pPr>
        <w:spacing w:line="360" w:lineRule="auto"/>
        <w:rPr>
          <w:rFonts w:ascii="Calibri" w:hAnsi="Calibri" w:cs="Calibri"/>
        </w:rPr>
      </w:pPr>
      <w:r w:rsidRPr="00467898">
        <w:rPr>
          <w:rFonts w:ascii="Calibri" w:hAnsi="Calibri" w:cs="Calibri"/>
        </w:rPr>
        <w:t xml:space="preserve">The rise in </w:t>
      </w:r>
      <w:r w:rsidR="00054389" w:rsidRPr="00467898">
        <w:rPr>
          <w:rFonts w:ascii="Calibri" w:hAnsi="Calibri" w:cs="Calibri"/>
        </w:rPr>
        <w:t>cocaine and opioids (</w:t>
      </w:r>
      <w:r w:rsidRPr="00467898">
        <w:rPr>
          <w:rFonts w:ascii="Calibri" w:hAnsi="Calibri" w:cs="Calibri"/>
        </w:rPr>
        <w:t>C&amp;O</w:t>
      </w:r>
      <w:r w:rsidR="00054389" w:rsidRPr="00467898">
        <w:rPr>
          <w:rFonts w:ascii="Calibri" w:hAnsi="Calibri" w:cs="Calibri"/>
        </w:rPr>
        <w:t>)</w:t>
      </w:r>
      <w:r w:rsidRPr="00467898">
        <w:rPr>
          <w:rFonts w:ascii="Calibri" w:hAnsi="Calibri" w:cs="Calibri"/>
        </w:rPr>
        <w:t xml:space="preserve"> </w:t>
      </w:r>
      <w:r w:rsidR="00502D44" w:rsidRPr="00467898">
        <w:rPr>
          <w:rFonts w:ascii="Calibri" w:hAnsi="Calibri" w:cs="Calibri"/>
        </w:rPr>
        <w:t xml:space="preserve">dependence </w:t>
      </w:r>
      <w:r w:rsidRPr="00467898">
        <w:rPr>
          <w:rFonts w:ascii="Calibri" w:hAnsi="Calibri" w:cs="Calibri"/>
        </w:rPr>
        <w:t>appears particularly acute among socially vulnerable populations, including individuals experiencing homelessness, unemployment or incarceration. These intersecting vulnerabilities create a syndetic pattern, where structural inequalities and substance use exacerbate each other (</w:t>
      </w:r>
      <w:r w:rsidR="000A3A34" w:rsidRPr="00467898">
        <w:rPr>
          <w:rFonts w:ascii="Calibri" w:hAnsi="Calibri" w:cs="Calibri"/>
          <w:lang w:val="en-US"/>
        </w:rPr>
        <w:t>4</w:t>
      </w:r>
      <w:r w:rsidRPr="00467898">
        <w:rPr>
          <w:rFonts w:ascii="Calibri" w:hAnsi="Calibri" w:cs="Calibri"/>
        </w:rPr>
        <w:t xml:space="preserve">). </w:t>
      </w:r>
      <w:r w:rsidR="00185295" w:rsidRPr="00467898">
        <w:rPr>
          <w:rFonts w:ascii="Calibri" w:hAnsi="Calibri" w:cs="Calibri"/>
        </w:rPr>
        <w:t xml:space="preserve">The HIV outbreak in Glasgow from 2015 to 2019 was associated with public injections of cocaine and opioid </w:t>
      </w:r>
      <w:r w:rsidR="00010D83" w:rsidRPr="00AF6853">
        <w:rPr>
          <w:rFonts w:ascii="Calibri" w:hAnsi="Calibri" w:cs="Calibri"/>
        </w:rPr>
        <w:t>dependence</w:t>
      </w:r>
      <w:r w:rsidR="00185295" w:rsidRPr="00467898">
        <w:rPr>
          <w:rFonts w:ascii="Calibri" w:hAnsi="Calibri" w:cs="Calibri"/>
        </w:rPr>
        <w:t xml:space="preserve">, highlighting social marginalization, especially homelessness and street drug use. </w:t>
      </w:r>
      <w:r w:rsidR="00D41C44" w:rsidRPr="00467898">
        <w:rPr>
          <w:rFonts w:ascii="Calibri" w:hAnsi="Calibri" w:cs="Calibri"/>
        </w:rPr>
        <w:t xml:space="preserve">This shows that the accommodation </w:t>
      </w:r>
      <w:r w:rsidR="00B16480" w:rsidRPr="00B16480">
        <w:rPr>
          <w:rFonts w:ascii="Calibri" w:hAnsi="Calibri" w:cs="Calibri"/>
        </w:rPr>
        <w:t>status</w:t>
      </w:r>
      <w:r w:rsidR="00B16480">
        <w:rPr>
          <w:rFonts w:ascii="Calibri" w:hAnsi="Calibri" w:cs="Calibri" w:hint="eastAsia"/>
        </w:rPr>
        <w:t xml:space="preserve"> </w:t>
      </w:r>
      <w:r w:rsidR="00D41C44" w:rsidRPr="00467898">
        <w:rPr>
          <w:rFonts w:ascii="Calibri" w:hAnsi="Calibri" w:cs="Calibri"/>
        </w:rPr>
        <w:t>and the region interact with the evolving drug market to drive infectious disease clusters (5,6).</w:t>
      </w:r>
    </w:p>
    <w:p w14:paraId="58F449E4" w14:textId="4BAA5045" w:rsidR="00B26BB1" w:rsidRPr="00467898" w:rsidRDefault="00AA7671" w:rsidP="00DD5881">
      <w:pPr>
        <w:spacing w:line="360" w:lineRule="auto"/>
        <w:rPr>
          <w:rFonts w:ascii="Calibri" w:hAnsi="Calibri" w:cs="Calibri"/>
          <w:lang w:val="en-US"/>
        </w:rPr>
      </w:pPr>
      <w:r w:rsidRPr="00467898">
        <w:rPr>
          <w:rFonts w:ascii="Calibri" w:hAnsi="Calibri" w:cs="Calibri"/>
        </w:rPr>
        <w:t>The demographic structure of the affected population has changed significantly.</w:t>
      </w:r>
      <w:r w:rsidR="00A10ED1" w:rsidRPr="00467898">
        <w:rPr>
          <w:rFonts w:ascii="Calibri" w:hAnsi="Calibri" w:cs="Calibri"/>
        </w:rPr>
        <w:t xml:space="preserve"> </w:t>
      </w:r>
      <w:r w:rsidR="00C8309F" w:rsidRPr="00467898">
        <w:rPr>
          <w:rFonts w:ascii="Calibri" w:hAnsi="Calibri" w:cs="Calibri"/>
        </w:rPr>
        <w:t xml:space="preserve">Among individuals who received OAT treatment in Scotland over the past five years, the opioid dependent population is aging. Between 2014/15 and 2019/20, the number of </w:t>
      </w:r>
      <w:r w:rsidR="00C3003B">
        <w:rPr>
          <w:rFonts w:ascii="Calibri" w:hAnsi="Calibri" w:cs="Calibri"/>
        </w:rPr>
        <w:t>individuals</w:t>
      </w:r>
      <w:r w:rsidR="00C8309F" w:rsidRPr="00467898">
        <w:rPr>
          <w:rFonts w:ascii="Calibri" w:hAnsi="Calibri" w:cs="Calibri"/>
        </w:rPr>
        <w:t xml:space="preserve"> aged 15-34 is estimated to have decreased by 5,100, while the number of </w:t>
      </w:r>
      <w:r w:rsidR="00C3003B">
        <w:rPr>
          <w:rFonts w:ascii="Calibri" w:hAnsi="Calibri" w:cs="Calibri"/>
        </w:rPr>
        <w:t>individuals</w:t>
      </w:r>
      <w:r w:rsidR="00C8309F" w:rsidRPr="00467898">
        <w:rPr>
          <w:rFonts w:ascii="Calibri" w:hAnsi="Calibri" w:cs="Calibri"/>
        </w:rPr>
        <w:t xml:space="preserve"> aged 50-64 has increased by 2,800</w:t>
      </w:r>
      <w:r w:rsidR="00D06869" w:rsidRPr="00467898">
        <w:rPr>
          <w:rFonts w:ascii="Calibri" w:hAnsi="Calibri" w:cs="Calibri"/>
        </w:rPr>
        <w:t xml:space="preserve"> (</w:t>
      </w:r>
      <w:r w:rsidR="003075C7" w:rsidRPr="00467898">
        <w:rPr>
          <w:rFonts w:ascii="Calibri" w:hAnsi="Calibri" w:cs="Calibri"/>
        </w:rPr>
        <w:t>7</w:t>
      </w:r>
      <w:r w:rsidR="00D06869" w:rsidRPr="00467898">
        <w:rPr>
          <w:rFonts w:ascii="Calibri" w:hAnsi="Calibri" w:cs="Calibri"/>
        </w:rPr>
        <w:t>)</w:t>
      </w:r>
      <w:r w:rsidR="00C8309F" w:rsidRPr="00467898">
        <w:rPr>
          <w:rFonts w:ascii="Calibri" w:hAnsi="Calibri" w:cs="Calibri"/>
        </w:rPr>
        <w:t>.</w:t>
      </w:r>
      <w:r w:rsidRPr="00467898">
        <w:rPr>
          <w:rFonts w:ascii="Calibri" w:hAnsi="Calibri" w:cs="Calibri"/>
        </w:rPr>
        <w:t xml:space="preserve"> </w:t>
      </w:r>
      <w:r w:rsidR="00A44A1D" w:rsidRPr="00467898">
        <w:rPr>
          <w:rFonts w:ascii="Calibri" w:hAnsi="Calibri" w:cs="Calibri"/>
        </w:rPr>
        <w:t>In Scotland, the prevalence of opioid dependence has risen significantly among those aged 50–64, while rates have declined among younger groups (</w:t>
      </w:r>
      <w:r w:rsidR="003075C7" w:rsidRPr="00467898">
        <w:rPr>
          <w:rFonts w:ascii="Calibri" w:hAnsi="Calibri" w:cs="Calibri"/>
          <w:lang w:val="en-US"/>
        </w:rPr>
        <w:t>7</w:t>
      </w:r>
      <w:r w:rsidR="00A44A1D" w:rsidRPr="00467898">
        <w:rPr>
          <w:rFonts w:ascii="Calibri" w:hAnsi="Calibri" w:cs="Calibri"/>
        </w:rPr>
        <w:t>). Older individuals on OAT are at greater risk of methadone</w:t>
      </w:r>
      <w:r w:rsidR="00A44A1D" w:rsidRPr="00467898">
        <w:rPr>
          <w:rFonts w:ascii="Cambria Math" w:hAnsi="Cambria Math" w:cs="Cambria Math"/>
        </w:rPr>
        <w:t>‑</w:t>
      </w:r>
      <w:r w:rsidR="00A44A1D" w:rsidRPr="00467898">
        <w:rPr>
          <w:rFonts w:ascii="Calibri" w:hAnsi="Calibri" w:cs="Calibri"/>
        </w:rPr>
        <w:t>specific mortality (methadone is a long</w:t>
      </w:r>
      <w:r w:rsidR="00A44A1D" w:rsidRPr="00467898">
        <w:rPr>
          <w:rFonts w:ascii="Cambria Math" w:hAnsi="Cambria Math" w:cs="Cambria Math"/>
        </w:rPr>
        <w:t>‑</w:t>
      </w:r>
      <w:r w:rsidR="00A44A1D" w:rsidRPr="00467898">
        <w:rPr>
          <w:rFonts w:ascii="Calibri" w:hAnsi="Calibri" w:cs="Calibri"/>
        </w:rPr>
        <w:t>acting synthetic opioid used in maintenance therapy), likely due to age</w:t>
      </w:r>
      <w:r w:rsidR="00A44A1D" w:rsidRPr="00467898">
        <w:rPr>
          <w:rFonts w:ascii="Cambria Math" w:hAnsi="Cambria Math" w:cs="Cambria Math"/>
        </w:rPr>
        <w:t>‑</w:t>
      </w:r>
      <w:r w:rsidR="00A44A1D" w:rsidRPr="00467898">
        <w:rPr>
          <w:rFonts w:ascii="Calibri" w:hAnsi="Calibri" w:cs="Calibri"/>
        </w:rPr>
        <w:t>related physiological changes (</w:t>
      </w:r>
      <w:r w:rsidR="003075C7" w:rsidRPr="00467898">
        <w:rPr>
          <w:rFonts w:ascii="Calibri" w:hAnsi="Calibri" w:cs="Calibri"/>
          <w:lang w:val="en-US"/>
        </w:rPr>
        <w:t>8</w:t>
      </w:r>
      <w:r w:rsidR="00A44A1D" w:rsidRPr="00467898">
        <w:rPr>
          <w:rFonts w:ascii="Calibri" w:hAnsi="Calibri" w:cs="Calibri"/>
        </w:rPr>
        <w:t xml:space="preserve">). </w:t>
      </w:r>
    </w:p>
    <w:p w14:paraId="507B374F" w14:textId="2A1A8C61" w:rsidR="00FA3879" w:rsidRPr="00467898" w:rsidRDefault="00B26BB1" w:rsidP="00DD5881">
      <w:pPr>
        <w:spacing w:line="360" w:lineRule="auto"/>
        <w:rPr>
          <w:rFonts w:ascii="Calibri" w:hAnsi="Calibri" w:cs="Calibri"/>
        </w:rPr>
      </w:pPr>
      <w:r w:rsidRPr="00467898">
        <w:rPr>
          <w:rFonts w:ascii="Calibri" w:hAnsi="Calibri" w:cs="Calibri"/>
        </w:rPr>
        <w:t>Moreover, cocaine use is associated with substantial cardiovascular harm, affecting both vascular and myocardial integrity. Acute exposure can trigger coronary vasoconstriction, arrhythmias, myocardial ischemia and infarction, while chronic use has been linked to structural myocardial changes such as hypertrophy, dilated cardiomyopathy</w:t>
      </w:r>
      <w:r w:rsidR="00651855">
        <w:rPr>
          <w:rFonts w:ascii="Calibri" w:hAnsi="Calibri" w:cs="Calibri"/>
        </w:rPr>
        <w:t xml:space="preserve"> and</w:t>
      </w:r>
      <w:r w:rsidRPr="00467898">
        <w:rPr>
          <w:rFonts w:ascii="Calibri" w:hAnsi="Calibri" w:cs="Calibri"/>
        </w:rPr>
        <w:t xml:space="preserve"> myocarditis (</w:t>
      </w:r>
      <w:r w:rsidR="00775102" w:rsidRPr="00467898">
        <w:rPr>
          <w:rFonts w:ascii="Calibri" w:hAnsi="Calibri" w:cs="Calibri"/>
        </w:rPr>
        <w:t>9</w:t>
      </w:r>
      <w:r w:rsidRPr="00467898">
        <w:rPr>
          <w:rFonts w:ascii="Calibri" w:hAnsi="Calibri" w:cs="Calibri"/>
        </w:rPr>
        <w:t xml:space="preserve">). </w:t>
      </w:r>
      <w:r w:rsidR="007D394C" w:rsidRPr="00467898">
        <w:rPr>
          <w:rFonts w:ascii="Calibri" w:hAnsi="Calibri" w:cs="Calibri"/>
        </w:rPr>
        <w:t xml:space="preserve">These pathophysiological effects may be further compounded in individuals with </w:t>
      </w:r>
      <w:r w:rsidR="007D394C" w:rsidRPr="00467898">
        <w:rPr>
          <w:rFonts w:ascii="Calibri" w:hAnsi="Calibri" w:cs="Calibri"/>
        </w:rPr>
        <w:lastRenderedPageBreak/>
        <w:t xml:space="preserve">concurrent opioid </w:t>
      </w:r>
      <w:r w:rsidR="001033A4" w:rsidRPr="00467898">
        <w:rPr>
          <w:rFonts w:ascii="Calibri" w:hAnsi="Calibri" w:cs="Calibri"/>
        </w:rPr>
        <w:t>dependence</w:t>
      </w:r>
      <w:r w:rsidR="007D394C" w:rsidRPr="00467898">
        <w:rPr>
          <w:rFonts w:ascii="Calibri" w:hAnsi="Calibri" w:cs="Calibri"/>
        </w:rPr>
        <w:t xml:space="preserve">. </w:t>
      </w:r>
      <w:r w:rsidR="0061768B" w:rsidRPr="00467898">
        <w:rPr>
          <w:rFonts w:ascii="Calibri" w:hAnsi="Calibri" w:cs="Calibri"/>
        </w:rPr>
        <w:t>Stimulants such as cocaine can mask the sedative effect of opioids, which may lead individuals to increase the dosage of opioids to achieve the desired effect, thereby significantly increasing the risk of overdose</w:t>
      </w:r>
      <w:r w:rsidR="009335A9" w:rsidRPr="00467898">
        <w:rPr>
          <w:rFonts w:ascii="Calibri" w:hAnsi="Calibri" w:cs="Calibri"/>
        </w:rPr>
        <w:t xml:space="preserve"> and cardiovascular risks</w:t>
      </w:r>
      <w:r w:rsidR="0061768B" w:rsidRPr="00467898">
        <w:rPr>
          <w:rFonts w:ascii="Calibri" w:hAnsi="Calibri" w:cs="Calibri"/>
        </w:rPr>
        <w:t xml:space="preserve"> (</w:t>
      </w:r>
      <w:r w:rsidR="00775102" w:rsidRPr="00467898">
        <w:rPr>
          <w:rFonts w:ascii="Calibri" w:hAnsi="Calibri" w:cs="Calibri"/>
        </w:rPr>
        <w:t>10</w:t>
      </w:r>
      <w:r w:rsidR="0061768B" w:rsidRPr="00467898">
        <w:rPr>
          <w:rFonts w:ascii="Calibri" w:hAnsi="Calibri" w:cs="Calibri"/>
        </w:rPr>
        <w:t xml:space="preserve">). </w:t>
      </w:r>
      <w:r w:rsidRPr="00467898">
        <w:rPr>
          <w:rFonts w:ascii="Calibri" w:hAnsi="Calibri" w:cs="Calibri"/>
        </w:rPr>
        <w:t>Opioids themselves may interfere with cardiovascular function and pharmacological management, with potential interactions affecting medications commonly prescribed for cardiovascular disease (</w:t>
      </w:r>
      <w:r w:rsidR="0038394E">
        <w:rPr>
          <w:rFonts w:ascii="Calibri" w:hAnsi="Calibri" w:cs="Calibri" w:hint="eastAsia"/>
        </w:rPr>
        <w:t>11</w:t>
      </w:r>
      <w:r w:rsidRPr="00467898">
        <w:rPr>
          <w:rFonts w:ascii="Calibri" w:hAnsi="Calibri" w:cs="Calibri"/>
        </w:rPr>
        <w:t xml:space="preserve">). </w:t>
      </w:r>
    </w:p>
    <w:p w14:paraId="02CFC710" w14:textId="5B431022" w:rsidR="00F651D2" w:rsidRPr="00467898" w:rsidRDefault="008D77A1" w:rsidP="00DD5881">
      <w:pPr>
        <w:spacing w:line="360" w:lineRule="auto"/>
        <w:rPr>
          <w:rFonts w:ascii="Calibri" w:hAnsi="Calibri" w:cs="Calibri"/>
        </w:rPr>
      </w:pPr>
      <w:r w:rsidRPr="008D77A1">
        <w:rPr>
          <w:rFonts w:ascii="Calibri" w:hAnsi="Calibri" w:cs="Calibri"/>
        </w:rPr>
        <w:t>In conclusion, the persistently high drug-related mortality rate in Scotland reflects the complex interaction among the changing patterns of substance use, social vulnerability and demographic changes among opioid</w:t>
      </w:r>
      <w:r w:rsidR="006F46CA">
        <w:rPr>
          <w:rFonts w:ascii="Calibri" w:hAnsi="Calibri" w:cs="Calibri" w:hint="eastAsia"/>
        </w:rPr>
        <w:t xml:space="preserve"> </w:t>
      </w:r>
      <w:r w:rsidRPr="008D77A1">
        <w:rPr>
          <w:rFonts w:ascii="Calibri" w:hAnsi="Calibri" w:cs="Calibri"/>
        </w:rPr>
        <w:t xml:space="preserve">dependent populations. </w:t>
      </w:r>
      <w:r w:rsidR="00F11E56" w:rsidRPr="00F11E56">
        <w:rPr>
          <w:rFonts w:ascii="Calibri" w:hAnsi="Calibri" w:cs="Calibri"/>
        </w:rPr>
        <w:t>Increasingly dependent on</w:t>
      </w:r>
      <w:r w:rsidR="00AE47D0">
        <w:rPr>
          <w:rFonts w:ascii="Calibri" w:hAnsi="Calibri" w:cs="Calibri" w:hint="eastAsia"/>
        </w:rPr>
        <w:t xml:space="preserve"> </w:t>
      </w:r>
      <w:r w:rsidR="00AE47D0" w:rsidRPr="00BB72A7">
        <w:rPr>
          <w:rFonts w:ascii="Calibri" w:hAnsi="Calibri" w:cs="Calibri"/>
        </w:rPr>
        <w:t>cocaine and opioid</w:t>
      </w:r>
      <w:r w:rsidR="00F11E56" w:rsidRPr="00F11E56">
        <w:rPr>
          <w:rFonts w:ascii="Calibri" w:hAnsi="Calibri" w:cs="Calibri"/>
        </w:rPr>
        <w:t xml:space="preserve"> </w:t>
      </w:r>
      <w:r w:rsidR="00AE47D0" w:rsidRPr="00BB72A7">
        <w:rPr>
          <w:rFonts w:ascii="Calibri" w:hAnsi="Calibri" w:cs="Calibri"/>
        </w:rPr>
        <w:t>(C&amp;O)</w:t>
      </w:r>
      <w:r w:rsidR="00F11E56" w:rsidRPr="00F11E56">
        <w:rPr>
          <w:rFonts w:ascii="Calibri" w:hAnsi="Calibri" w:cs="Calibri"/>
        </w:rPr>
        <w:t xml:space="preserve">, especially in accept the OAT and marginalised in the elderly, </w:t>
      </w:r>
      <w:r w:rsidR="00651855">
        <w:rPr>
          <w:rFonts w:ascii="Calibri" w:hAnsi="Calibri" w:cs="Calibri"/>
        </w:rPr>
        <w:t xml:space="preserve">poses </w:t>
      </w:r>
      <w:r w:rsidR="00F11E56" w:rsidRPr="00F11E56">
        <w:rPr>
          <w:rFonts w:ascii="Calibri" w:hAnsi="Calibri" w:cs="Calibri"/>
        </w:rPr>
        <w:t xml:space="preserve">a </w:t>
      </w:r>
      <w:r w:rsidR="005C0D86" w:rsidRPr="00F11E56">
        <w:rPr>
          <w:rFonts w:ascii="Calibri" w:hAnsi="Calibri" w:cs="Calibri"/>
        </w:rPr>
        <w:t>multifaceted challenge</w:t>
      </w:r>
      <w:r w:rsidR="00F11E56" w:rsidRPr="00F11E56">
        <w:rPr>
          <w:rFonts w:ascii="Calibri" w:hAnsi="Calibri" w:cs="Calibri"/>
        </w:rPr>
        <w:t xml:space="preserve"> to public health.</w:t>
      </w:r>
      <w:r w:rsidR="005C0D86">
        <w:rPr>
          <w:rFonts w:ascii="Calibri" w:hAnsi="Calibri" w:cs="Calibri" w:hint="eastAsia"/>
        </w:rPr>
        <w:t xml:space="preserve"> </w:t>
      </w:r>
      <w:r w:rsidRPr="008D77A1">
        <w:rPr>
          <w:rFonts w:ascii="Calibri" w:hAnsi="Calibri" w:cs="Calibri"/>
        </w:rPr>
        <w:t xml:space="preserve">Understanding these dynamics and examining the connection between the </w:t>
      </w:r>
      <w:r w:rsidR="00421861" w:rsidRPr="00190DB7">
        <w:rPr>
          <w:rFonts w:ascii="Calibri" w:hAnsi="Calibri" w:cs="Calibri"/>
        </w:rPr>
        <w:t>dependen</w:t>
      </w:r>
      <w:r w:rsidR="00421861">
        <w:rPr>
          <w:rFonts w:ascii="Calibri" w:hAnsi="Calibri" w:cs="Calibri" w:hint="eastAsia"/>
        </w:rPr>
        <w:t xml:space="preserve">ce </w:t>
      </w:r>
      <w:r w:rsidRPr="008D77A1">
        <w:rPr>
          <w:rFonts w:ascii="Calibri" w:hAnsi="Calibri" w:cs="Calibri"/>
        </w:rPr>
        <w:t xml:space="preserve">of </w:t>
      </w:r>
      <w:r w:rsidR="00AE47D0" w:rsidRPr="00BB72A7">
        <w:rPr>
          <w:rFonts w:ascii="Calibri" w:hAnsi="Calibri" w:cs="Calibri"/>
        </w:rPr>
        <w:t>cocaine and opioid</w:t>
      </w:r>
      <w:r w:rsidR="00AE47D0">
        <w:rPr>
          <w:rFonts w:ascii="Calibri" w:hAnsi="Calibri" w:cs="Calibri" w:hint="eastAsia"/>
        </w:rPr>
        <w:t xml:space="preserve"> </w:t>
      </w:r>
      <w:r w:rsidR="00AE47D0" w:rsidRPr="00BB72A7">
        <w:rPr>
          <w:rFonts w:ascii="Calibri" w:hAnsi="Calibri" w:cs="Calibri"/>
        </w:rPr>
        <w:t xml:space="preserve">(C&amp;O) </w:t>
      </w:r>
      <w:r w:rsidRPr="008D77A1">
        <w:rPr>
          <w:rFonts w:ascii="Calibri" w:hAnsi="Calibri" w:cs="Calibri"/>
        </w:rPr>
        <w:t xml:space="preserve">and drug-related </w:t>
      </w:r>
      <w:r w:rsidR="00421861" w:rsidRPr="00421861">
        <w:rPr>
          <w:rFonts w:ascii="Calibri" w:hAnsi="Calibri" w:cs="Calibri"/>
        </w:rPr>
        <w:t>harms</w:t>
      </w:r>
      <w:r w:rsidR="00421861">
        <w:rPr>
          <w:rFonts w:ascii="Calibri" w:hAnsi="Calibri" w:cs="Calibri" w:hint="eastAsia"/>
        </w:rPr>
        <w:t xml:space="preserve"> </w:t>
      </w:r>
      <w:r w:rsidRPr="008D77A1">
        <w:rPr>
          <w:rFonts w:ascii="Calibri" w:hAnsi="Calibri" w:cs="Calibri"/>
        </w:rPr>
        <w:t xml:space="preserve">is not only crucial for treatment strategies, but also for addressing the broader determinants of the health social structure that have sustained drug-related </w:t>
      </w:r>
      <w:r w:rsidR="00A324D7" w:rsidRPr="00421861">
        <w:rPr>
          <w:rFonts w:ascii="Calibri" w:hAnsi="Calibri" w:cs="Calibri"/>
        </w:rPr>
        <w:t>harms</w:t>
      </w:r>
      <w:r w:rsidR="00A324D7">
        <w:rPr>
          <w:rFonts w:ascii="Calibri" w:hAnsi="Calibri" w:cs="Calibri" w:hint="eastAsia"/>
        </w:rPr>
        <w:t xml:space="preserve"> </w:t>
      </w:r>
      <w:r w:rsidRPr="008D77A1">
        <w:rPr>
          <w:rFonts w:ascii="Calibri" w:hAnsi="Calibri" w:cs="Calibri"/>
        </w:rPr>
        <w:t>in Scotland for a long time.</w:t>
      </w:r>
    </w:p>
    <w:p w14:paraId="5782CAA4" w14:textId="77777777" w:rsidR="00860624" w:rsidRPr="00467898" w:rsidRDefault="00860624" w:rsidP="00DD5881">
      <w:pPr>
        <w:spacing w:line="360" w:lineRule="auto"/>
        <w:rPr>
          <w:rFonts w:ascii="Calibri" w:hAnsi="Calibri" w:cs="Calibri"/>
        </w:rPr>
      </w:pPr>
    </w:p>
    <w:p w14:paraId="484A23D1" w14:textId="2AF9AC86" w:rsidR="00D06130" w:rsidRDefault="00860624" w:rsidP="00DD5881">
      <w:pPr>
        <w:spacing w:line="360" w:lineRule="auto"/>
        <w:rPr>
          <w:rFonts w:ascii="Calibri" w:hAnsi="Calibri" w:cs="Calibri"/>
          <w:b/>
          <w:bCs/>
        </w:rPr>
      </w:pPr>
      <w:r w:rsidRPr="00467898">
        <w:rPr>
          <w:rFonts w:ascii="Calibri" w:hAnsi="Calibri" w:cs="Calibri"/>
          <w:b/>
          <w:bCs/>
        </w:rPr>
        <w:t>Methods</w:t>
      </w:r>
    </w:p>
    <w:p w14:paraId="358D3633" w14:textId="77777777" w:rsidR="00042F4F" w:rsidRDefault="00042F4F" w:rsidP="00DD5881">
      <w:pPr>
        <w:spacing w:line="360" w:lineRule="auto"/>
        <w:rPr>
          <w:rFonts w:ascii="Calibri" w:hAnsi="Calibri" w:cs="Calibri"/>
          <w:b/>
          <w:bCs/>
        </w:rPr>
      </w:pPr>
    </w:p>
    <w:p w14:paraId="7288A480" w14:textId="53B77B2F" w:rsidR="00860624" w:rsidRPr="00BB72A7" w:rsidRDefault="00860624" w:rsidP="00DD5881">
      <w:pPr>
        <w:spacing w:line="360" w:lineRule="auto"/>
        <w:rPr>
          <w:rFonts w:ascii="Calibri" w:hAnsi="Calibri" w:cs="Calibri"/>
          <w:i/>
          <w:iCs/>
        </w:rPr>
      </w:pPr>
      <w:r w:rsidRPr="00BB72A7">
        <w:rPr>
          <w:rFonts w:ascii="Calibri" w:hAnsi="Calibri" w:cs="Calibri"/>
          <w:i/>
          <w:iCs/>
        </w:rPr>
        <w:t>Data Sources</w:t>
      </w:r>
      <w:r w:rsidRPr="00BB72A7">
        <w:rPr>
          <w:rFonts w:ascii="Calibri" w:hAnsi="Calibri" w:cs="Calibri"/>
        </w:rPr>
        <w:br/>
        <w:t xml:space="preserve">This study utilised linked national datasets from Scotland to characterise patterns of cocaine and opioid (C&amp;O) </w:t>
      </w:r>
      <w:r w:rsidR="00AE47D0" w:rsidRPr="00190DB7">
        <w:rPr>
          <w:rFonts w:ascii="Calibri" w:hAnsi="Calibri" w:cs="Calibri"/>
        </w:rPr>
        <w:t>dependen</w:t>
      </w:r>
      <w:r w:rsidR="00AE47D0">
        <w:rPr>
          <w:rFonts w:ascii="Calibri" w:hAnsi="Calibri" w:cs="Calibri" w:hint="eastAsia"/>
        </w:rPr>
        <w:t xml:space="preserve">ce </w:t>
      </w:r>
      <w:r w:rsidRPr="00BB72A7">
        <w:rPr>
          <w:rFonts w:ascii="Calibri" w:hAnsi="Calibri" w:cs="Calibri"/>
        </w:rPr>
        <w:t>and associated harms between 2015 and 2022. The primary source of treatment exposure data was the Scottish National Prescription Information System (PIS), which records prescriptions issued by clinicians and dispensed by pharmacies. For this analysis, opioid agonist therapy (OAT) prescriptions were extracted for the period 2009–2023, with the study period restricted to 1 January 2015–31 December 2022.</w:t>
      </w:r>
      <w:r w:rsidR="000F5C1E">
        <w:rPr>
          <w:rFonts w:ascii="Calibri" w:hAnsi="Calibri" w:cs="Calibri" w:hint="eastAsia"/>
        </w:rPr>
        <w:t xml:space="preserve"> </w:t>
      </w:r>
      <w:r w:rsidR="009E74AE" w:rsidRPr="009E74AE">
        <w:rPr>
          <w:rFonts w:ascii="Calibri" w:hAnsi="Calibri" w:cs="Calibri"/>
        </w:rPr>
        <w:t>In th</w:t>
      </w:r>
      <w:r w:rsidR="00913458">
        <w:rPr>
          <w:rFonts w:ascii="Calibri" w:hAnsi="Calibri" w:cs="Calibri" w:hint="eastAsia"/>
        </w:rPr>
        <w:t>is</w:t>
      </w:r>
      <w:r w:rsidR="009E74AE" w:rsidRPr="009E74AE">
        <w:rPr>
          <w:rFonts w:ascii="Calibri" w:hAnsi="Calibri" w:cs="Calibri"/>
        </w:rPr>
        <w:t xml:space="preserve"> </w:t>
      </w:r>
      <w:r w:rsidR="00913458" w:rsidRPr="00BB72A7">
        <w:rPr>
          <w:rFonts w:ascii="Calibri" w:hAnsi="Calibri" w:cs="Calibri"/>
        </w:rPr>
        <w:t>study</w:t>
      </w:r>
      <w:r w:rsidR="009E74AE" w:rsidRPr="009E74AE">
        <w:rPr>
          <w:rFonts w:ascii="Calibri" w:hAnsi="Calibri" w:cs="Calibri"/>
        </w:rPr>
        <w:t xml:space="preserve">, only calendar years were used instead of </w:t>
      </w:r>
      <w:r w:rsidR="00913458">
        <w:rPr>
          <w:rFonts w:ascii="Calibri" w:hAnsi="Calibri" w:cs="Calibri"/>
        </w:rPr>
        <w:t>financial</w:t>
      </w:r>
      <w:r w:rsidR="00913458">
        <w:rPr>
          <w:rFonts w:ascii="Calibri" w:hAnsi="Calibri" w:cs="Calibri" w:hint="eastAsia"/>
        </w:rPr>
        <w:t xml:space="preserve"> </w:t>
      </w:r>
      <w:r w:rsidR="009E74AE" w:rsidRPr="009E74AE">
        <w:rPr>
          <w:rFonts w:ascii="Calibri" w:hAnsi="Calibri" w:cs="Calibri"/>
        </w:rPr>
        <w:t>years.</w:t>
      </w:r>
      <w:r w:rsidRPr="00BB72A7">
        <w:rPr>
          <w:rFonts w:ascii="Calibri" w:hAnsi="Calibri" w:cs="Calibri"/>
        </w:rPr>
        <w:t xml:space="preserve"> Key variables from PIS included the prescription payment date</w:t>
      </w:r>
      <w:r w:rsidR="00913458">
        <w:rPr>
          <w:rFonts w:ascii="Calibri" w:hAnsi="Calibri" w:cs="Calibri" w:hint="eastAsia"/>
        </w:rPr>
        <w:t xml:space="preserve">, </w:t>
      </w:r>
      <w:r w:rsidRPr="00BB72A7">
        <w:rPr>
          <w:rFonts w:ascii="Calibri" w:hAnsi="Calibri" w:cs="Calibri"/>
        </w:rPr>
        <w:t xml:space="preserve">a unique patient identifier (IAIN), date of birth, and the </w:t>
      </w:r>
      <w:r w:rsidR="000B33CA" w:rsidRPr="00467898">
        <w:rPr>
          <w:rFonts w:ascii="Calibri" w:hAnsi="Calibri" w:cs="Calibri"/>
        </w:rPr>
        <w:t>individual</w:t>
      </w:r>
      <w:r w:rsidR="000B33CA">
        <w:rPr>
          <w:rFonts w:ascii="Calibri" w:hAnsi="Calibri" w:cs="Calibri"/>
        </w:rPr>
        <w:t>’</w:t>
      </w:r>
      <w:r w:rsidR="000B33CA" w:rsidRPr="00467898">
        <w:rPr>
          <w:rFonts w:ascii="Calibri" w:hAnsi="Calibri" w:cs="Calibri"/>
        </w:rPr>
        <w:t xml:space="preserve">s </w:t>
      </w:r>
      <w:r w:rsidRPr="00BB72A7">
        <w:rPr>
          <w:rFonts w:ascii="Calibri" w:hAnsi="Calibri" w:cs="Calibri"/>
        </w:rPr>
        <w:t>NHS health board of residence.</w:t>
      </w:r>
    </w:p>
    <w:p w14:paraId="60A4A672" w14:textId="6174959D" w:rsidR="00E64145" w:rsidRDefault="00860624" w:rsidP="00DD5881">
      <w:pPr>
        <w:spacing w:line="360" w:lineRule="auto"/>
        <w:rPr>
          <w:rFonts w:ascii="Calibri" w:hAnsi="Calibri" w:cs="Calibri"/>
        </w:rPr>
      </w:pPr>
      <w:r w:rsidRPr="00BB72A7">
        <w:rPr>
          <w:rFonts w:ascii="Calibri" w:hAnsi="Calibri" w:cs="Calibri"/>
        </w:rPr>
        <w:lastRenderedPageBreak/>
        <w:t xml:space="preserve">Data on </w:t>
      </w:r>
      <w:r w:rsidR="005B746F">
        <w:rPr>
          <w:rFonts w:ascii="Calibri" w:hAnsi="Calibri" w:cs="Calibri" w:hint="eastAsia"/>
        </w:rPr>
        <w:t>d</w:t>
      </w:r>
      <w:r w:rsidR="005B746F" w:rsidRPr="005B746F">
        <w:rPr>
          <w:rFonts w:ascii="Calibri" w:hAnsi="Calibri" w:cs="Calibri"/>
        </w:rPr>
        <w:t xml:space="preserve">rug </w:t>
      </w:r>
      <w:r w:rsidR="005B746F">
        <w:rPr>
          <w:rFonts w:ascii="Calibri" w:hAnsi="Calibri" w:cs="Calibri" w:hint="eastAsia"/>
        </w:rPr>
        <w:t>m</w:t>
      </w:r>
      <w:r w:rsidR="005B746F" w:rsidRPr="005B746F">
        <w:rPr>
          <w:rFonts w:ascii="Calibri" w:hAnsi="Calibri" w:cs="Calibri"/>
        </w:rPr>
        <w:t>isuse</w:t>
      </w:r>
      <w:r w:rsidRPr="00BB72A7">
        <w:rPr>
          <w:rFonts w:ascii="Calibri" w:hAnsi="Calibri" w:cs="Calibri"/>
        </w:rPr>
        <w:t xml:space="preserve"> history were obtained from the Scottish Drug Misuse Database (SDMD) for 2015–2021 and its successor, the Drug and Alcohol Information System (DAISy), for 2021–2022. </w:t>
      </w:r>
      <w:r w:rsidR="00EA19F6" w:rsidRPr="00EA19F6">
        <w:rPr>
          <w:rFonts w:ascii="Calibri" w:hAnsi="Calibri" w:cs="Calibri"/>
        </w:rPr>
        <w:t xml:space="preserve">These systems record data about </w:t>
      </w:r>
      <w:r w:rsidR="00C3003B">
        <w:rPr>
          <w:rFonts w:ascii="Calibri" w:hAnsi="Calibri" w:cs="Calibri"/>
        </w:rPr>
        <w:t>individuals</w:t>
      </w:r>
      <w:r w:rsidR="00EA19F6" w:rsidRPr="00EA19F6">
        <w:rPr>
          <w:rFonts w:ascii="Calibri" w:hAnsi="Calibri" w:cs="Calibri"/>
        </w:rPr>
        <w:t xml:space="preserve"> coming to drug services for help, including personal information and the drugs used at the time of the visit. When the recorded substances include cocaine, crack cocaine or cocaine powder, we will determine that this person used cocaine.</w:t>
      </w:r>
      <w:r w:rsidR="008A459F">
        <w:rPr>
          <w:rFonts w:ascii="Calibri" w:hAnsi="Calibri" w:cs="Calibri" w:hint="eastAsia"/>
        </w:rPr>
        <w:t xml:space="preserve"> </w:t>
      </w:r>
    </w:p>
    <w:p w14:paraId="66516457" w14:textId="01C05352" w:rsidR="00860624" w:rsidRPr="00BB72A7" w:rsidRDefault="00860624" w:rsidP="00DD5881">
      <w:pPr>
        <w:spacing w:line="360" w:lineRule="auto"/>
        <w:rPr>
          <w:rFonts w:ascii="Calibri" w:hAnsi="Calibri" w:cs="Calibri"/>
        </w:rPr>
      </w:pPr>
      <w:r w:rsidRPr="00BB72A7">
        <w:rPr>
          <w:rFonts w:ascii="Calibri" w:hAnsi="Calibri" w:cs="Calibri"/>
        </w:rPr>
        <w:t xml:space="preserve">Drug-related hospital admissions were identified from the national hospitalisation database, restricted to admissions where drug poisoning was recorded as the cause of admission. Non-fatal overdose (NFOD) events were defined as admissions with International Classification of Diseases, 10th Revision (ICD-10) codes T40.0, T40.1, or T40.3, </w:t>
      </w:r>
      <w:r w:rsidR="00D37284">
        <w:rPr>
          <w:rFonts w:ascii="Calibri" w:hAnsi="Calibri" w:cs="Calibri" w:hint="eastAsia"/>
        </w:rPr>
        <w:t>c</w:t>
      </w:r>
      <w:r w:rsidR="00D37284" w:rsidRPr="00D37284">
        <w:rPr>
          <w:rFonts w:ascii="Calibri" w:hAnsi="Calibri" w:cs="Calibri"/>
        </w:rPr>
        <w:t>orresponding to opioid, heroin and methadone drug-related poisoning.</w:t>
      </w:r>
    </w:p>
    <w:p w14:paraId="5B834F92" w14:textId="7596B9AE" w:rsidR="00860624" w:rsidRPr="00BB72A7" w:rsidRDefault="00860624" w:rsidP="00DD5881">
      <w:pPr>
        <w:spacing w:line="360" w:lineRule="auto"/>
        <w:rPr>
          <w:rFonts w:ascii="Calibri" w:hAnsi="Calibri" w:cs="Calibri"/>
        </w:rPr>
      </w:pPr>
      <w:r w:rsidRPr="00BB72A7">
        <w:rPr>
          <w:rFonts w:ascii="Calibri" w:hAnsi="Calibri" w:cs="Calibri"/>
        </w:rPr>
        <w:t xml:space="preserve">Mortality data were sourced from the Scottish National Death Registry. Drug-related deaths were defined according to ICD-10 codes F11–F16 and F19 (mental and behavioural disorders due to psychoactive substance use, excluding alcohol and tobacco), X40–X44 (accidental poisoning), X60–X64 (intentional self-poisoning), X85 (drug-related homicide), and Y11–Y14 (poisoning of undetermined intent), when listed as a </w:t>
      </w:r>
      <w:r w:rsidR="00EE6C6E">
        <w:rPr>
          <w:rFonts w:ascii="Calibri" w:hAnsi="Calibri" w:cs="Calibri" w:hint="eastAsia"/>
        </w:rPr>
        <w:t>m</w:t>
      </w:r>
      <w:r w:rsidR="00EE6C6E" w:rsidRPr="00EE6C6E">
        <w:rPr>
          <w:rFonts w:ascii="Calibri" w:hAnsi="Calibri" w:cs="Calibri"/>
        </w:rPr>
        <w:t xml:space="preserve">ain </w:t>
      </w:r>
      <w:r w:rsidRPr="00BB72A7">
        <w:rPr>
          <w:rFonts w:ascii="Calibri" w:hAnsi="Calibri" w:cs="Calibri"/>
        </w:rPr>
        <w:t xml:space="preserve">underlying cause of death. All-cause mortality encompassed all deaths occurring during the study period, regardless of cause. </w:t>
      </w:r>
      <w:r w:rsidR="00C3003B">
        <w:rPr>
          <w:rFonts w:ascii="Calibri" w:hAnsi="Calibri" w:cs="Calibri"/>
        </w:rPr>
        <w:t>Cardiovascular mortality</w:t>
      </w:r>
      <w:r w:rsidRPr="00BB72A7">
        <w:rPr>
          <w:rFonts w:ascii="Calibri" w:hAnsi="Calibri" w:cs="Calibri"/>
        </w:rPr>
        <w:t xml:space="preserve"> </w:t>
      </w:r>
      <w:r w:rsidR="00010D83">
        <w:rPr>
          <w:rFonts w:ascii="Calibri" w:hAnsi="Calibri" w:cs="Calibri" w:hint="eastAsia"/>
        </w:rPr>
        <w:t xml:space="preserve">was </w:t>
      </w:r>
      <w:r w:rsidRPr="00BB72A7">
        <w:rPr>
          <w:rFonts w:ascii="Calibri" w:hAnsi="Calibri" w:cs="Calibri"/>
        </w:rPr>
        <w:t>defined as deaths with a</w:t>
      </w:r>
      <w:r w:rsidR="00EE6C6E">
        <w:rPr>
          <w:rFonts w:ascii="Calibri" w:hAnsi="Calibri" w:cs="Calibri" w:hint="eastAsia"/>
        </w:rPr>
        <w:t xml:space="preserve"> main</w:t>
      </w:r>
      <w:r w:rsidRPr="00BB72A7">
        <w:rPr>
          <w:rFonts w:ascii="Calibri" w:hAnsi="Calibri" w:cs="Calibri"/>
        </w:rPr>
        <w:t xml:space="preserve"> underlying cause coded I00–I99.</w:t>
      </w:r>
    </w:p>
    <w:p w14:paraId="57907871" w14:textId="77777777" w:rsidR="00860624" w:rsidRPr="00BB72A7" w:rsidRDefault="00860624" w:rsidP="00DD5881">
      <w:pPr>
        <w:spacing w:line="360" w:lineRule="auto"/>
        <w:rPr>
          <w:rFonts w:ascii="Calibri" w:hAnsi="Calibri" w:cs="Calibri"/>
        </w:rPr>
      </w:pPr>
    </w:p>
    <w:p w14:paraId="5C69702C" w14:textId="182C077F" w:rsidR="00860624" w:rsidRDefault="00860624" w:rsidP="00DD5881">
      <w:pPr>
        <w:spacing w:line="360" w:lineRule="auto"/>
        <w:rPr>
          <w:rFonts w:ascii="Calibri" w:hAnsi="Calibri" w:cs="Calibri"/>
        </w:rPr>
      </w:pPr>
      <w:r w:rsidRPr="00BB72A7">
        <w:rPr>
          <w:rFonts w:ascii="Calibri" w:hAnsi="Calibri" w:cs="Calibri"/>
          <w:i/>
          <w:iCs/>
        </w:rPr>
        <w:t>Study Design and Population</w:t>
      </w:r>
      <w:r w:rsidRPr="00BB72A7">
        <w:rPr>
          <w:rFonts w:ascii="Calibri" w:hAnsi="Calibri" w:cs="Calibri"/>
        </w:rPr>
        <w:br/>
        <w:t>A retrospective cohort design was employed. The cohort comprised individuals aged 15–64 years who were resident in Scotland and received at least one OAT prescription between 1 January 2015 and 31 December 2022. Follow-up began at the date of the first OAT prescription within the study period and ended at the earliest of: (i) date of death, (ii) two years after the final OAT prescription (to capture ongoing risk after treatment cessation), or (iii) the end of the study period (31 December 2022).</w:t>
      </w:r>
    </w:p>
    <w:p w14:paraId="7AF97FD2" w14:textId="0BBF84FA" w:rsidR="0016028F" w:rsidRPr="00BB72A7" w:rsidRDefault="0016028F" w:rsidP="00DD5881">
      <w:pPr>
        <w:spacing w:line="360" w:lineRule="auto"/>
        <w:rPr>
          <w:rFonts w:ascii="Calibri" w:hAnsi="Calibri" w:cs="Calibri"/>
        </w:rPr>
      </w:pPr>
      <w:r w:rsidRPr="0016028F">
        <w:rPr>
          <w:rFonts w:ascii="Calibri" w:hAnsi="Calibri" w:cs="Calibri"/>
        </w:rPr>
        <w:t xml:space="preserve">The results of this cohort are as follows: </w:t>
      </w:r>
      <w:r w:rsidR="00B50AA6" w:rsidRPr="00BB72A7">
        <w:rPr>
          <w:rFonts w:ascii="Calibri" w:hAnsi="Calibri" w:cs="Calibri"/>
        </w:rPr>
        <w:t xml:space="preserve">from </w:t>
      </w:r>
      <w:r w:rsidRPr="0016028F">
        <w:rPr>
          <w:rFonts w:ascii="Calibri" w:hAnsi="Calibri" w:cs="Calibri"/>
        </w:rPr>
        <w:t xml:space="preserve">53,100 </w:t>
      </w:r>
      <w:r w:rsidR="00B50AA6" w:rsidRPr="00BB72A7">
        <w:rPr>
          <w:rFonts w:ascii="Calibri" w:hAnsi="Calibri" w:cs="Calibri"/>
        </w:rPr>
        <w:t xml:space="preserve">individuals </w:t>
      </w:r>
      <w:r w:rsidRPr="0016028F">
        <w:rPr>
          <w:rFonts w:ascii="Calibri" w:hAnsi="Calibri" w:cs="Calibri"/>
        </w:rPr>
        <w:t xml:space="preserve">who received at least one OAT prescription from April 30, 2009 to March 31, 2023, 12,292 </w:t>
      </w:r>
      <w:r w:rsidR="00010D83" w:rsidRPr="00BB72A7">
        <w:rPr>
          <w:rFonts w:ascii="Calibri" w:hAnsi="Calibri" w:cs="Calibri"/>
        </w:rPr>
        <w:t xml:space="preserve">individuals </w:t>
      </w:r>
      <w:r w:rsidRPr="0016028F">
        <w:rPr>
          <w:rFonts w:ascii="Calibri" w:hAnsi="Calibri" w:cs="Calibri"/>
        </w:rPr>
        <w:t xml:space="preserve">without SDMD or DAISy records were excluded, leaving 40,808 </w:t>
      </w:r>
      <w:r w:rsidR="00010D83" w:rsidRPr="00BB72A7">
        <w:rPr>
          <w:rFonts w:ascii="Calibri" w:hAnsi="Calibri" w:cs="Calibri"/>
        </w:rPr>
        <w:t>individuals</w:t>
      </w:r>
      <w:r w:rsidRPr="0016028F">
        <w:rPr>
          <w:rFonts w:ascii="Calibri" w:hAnsi="Calibri" w:cs="Calibri"/>
        </w:rPr>
        <w:t xml:space="preserve">. Another 36 individuals aged 15 to </w:t>
      </w:r>
      <w:r w:rsidRPr="0016028F">
        <w:rPr>
          <w:rFonts w:ascii="Calibri" w:hAnsi="Calibri" w:cs="Calibri"/>
        </w:rPr>
        <w:lastRenderedPageBreak/>
        <w:t xml:space="preserve">64 without an OAT prescription were excluded, and 321 individuals without an OAT prescription from 2015 to 2022 were also excluded. Finally, 42 non-Scottish residents or individuals lacking NHS board information were removed, and the final analysis cohort consisted of 37,409 </w:t>
      </w:r>
      <w:r w:rsidR="00010D83" w:rsidRPr="00BB72A7">
        <w:rPr>
          <w:rFonts w:ascii="Calibri" w:hAnsi="Calibri" w:cs="Calibri"/>
        </w:rPr>
        <w:t>individuals</w:t>
      </w:r>
      <w:r w:rsidRPr="0016028F">
        <w:rPr>
          <w:rFonts w:ascii="Calibri" w:hAnsi="Calibri" w:cs="Calibri"/>
        </w:rPr>
        <w:t>.</w:t>
      </w:r>
    </w:p>
    <w:p w14:paraId="5401421E" w14:textId="2B1173FA" w:rsidR="00860624" w:rsidRDefault="00B50AA6" w:rsidP="00DD5881">
      <w:pPr>
        <w:spacing w:line="360" w:lineRule="auto"/>
        <w:rPr>
          <w:rFonts w:ascii="Calibri" w:hAnsi="Calibri" w:cs="Calibri"/>
        </w:rPr>
      </w:pPr>
      <w:r w:rsidRPr="0016028F">
        <w:rPr>
          <w:rFonts w:ascii="Calibri" w:hAnsi="Calibri" w:cs="Calibri"/>
        </w:rPr>
        <w:t>The results of this cohort are as follows:</w:t>
      </w:r>
      <w:r>
        <w:rPr>
          <w:rFonts w:ascii="Calibri" w:hAnsi="Calibri" w:cs="Calibri" w:hint="eastAsia"/>
        </w:rPr>
        <w:t xml:space="preserve"> </w:t>
      </w:r>
      <w:r w:rsidR="00860624" w:rsidRPr="00BB72A7">
        <w:rPr>
          <w:rFonts w:ascii="Calibri" w:hAnsi="Calibri" w:cs="Calibri"/>
        </w:rPr>
        <w:t xml:space="preserve">from 53,100 individuals who had received at least one OAT prescription between 30 April 2009 and 31 March 2023, </w:t>
      </w:r>
      <w:r w:rsidR="006E7131" w:rsidRPr="0016028F">
        <w:rPr>
          <w:rFonts w:ascii="Calibri" w:hAnsi="Calibri" w:cs="Calibri"/>
        </w:rPr>
        <w:t xml:space="preserve">12,292 </w:t>
      </w:r>
      <w:r w:rsidR="00010D83" w:rsidRPr="00BB72A7">
        <w:rPr>
          <w:rFonts w:ascii="Calibri" w:hAnsi="Calibri" w:cs="Calibri"/>
        </w:rPr>
        <w:t xml:space="preserve">individuals </w:t>
      </w:r>
      <w:r w:rsidR="006E7131" w:rsidRPr="0016028F">
        <w:rPr>
          <w:rFonts w:ascii="Calibri" w:hAnsi="Calibri" w:cs="Calibri"/>
        </w:rPr>
        <w:t>without SDMD or DAISy records were excluded</w:t>
      </w:r>
      <w:r w:rsidR="00860624" w:rsidRPr="00BB72A7">
        <w:rPr>
          <w:rFonts w:ascii="Calibri" w:hAnsi="Calibri" w:cs="Calibri"/>
        </w:rPr>
        <w:t xml:space="preserve">, leaving 40,808 individuals. A further 36 individuals without an OAT prescription at ages 15–64 were excluded, as were 321 individuals without an OAT prescription during 2015–2022. Finally, 42 non-Scottish residents or individuals with missing NHS board information were removed, resulting in a final analytical cohort of 37,409 </w:t>
      </w:r>
      <w:r w:rsidR="00010D83" w:rsidRPr="00BB72A7">
        <w:rPr>
          <w:rFonts w:ascii="Calibri" w:hAnsi="Calibri" w:cs="Calibri"/>
        </w:rPr>
        <w:t>individuals</w:t>
      </w:r>
      <w:r w:rsidR="00860624" w:rsidRPr="00BB72A7">
        <w:rPr>
          <w:rFonts w:ascii="Calibri" w:hAnsi="Calibri" w:cs="Calibri"/>
        </w:rPr>
        <w:t>.</w:t>
      </w:r>
    </w:p>
    <w:p w14:paraId="36943A8C" w14:textId="5E1BAB58" w:rsidR="00167DF2" w:rsidRPr="00A25A95" w:rsidRDefault="00167DF2" w:rsidP="00167DF2">
      <w:pPr>
        <w:spacing w:line="360" w:lineRule="auto"/>
        <w:jc w:val="center"/>
        <w:rPr>
          <w:rFonts w:ascii="Calibri" w:hAnsi="Calibri" w:cs="Calibri"/>
          <w:b/>
          <w:bCs/>
        </w:rPr>
      </w:pPr>
      <w:r>
        <w:rPr>
          <w:rFonts w:ascii="Calibri" w:hAnsi="Calibri" w:cs="Calibri"/>
        </w:rPr>
        <w:br w:type="column"/>
      </w:r>
      <w:r w:rsidRPr="00E1248B">
        <w:rPr>
          <w:rFonts w:ascii="Calibri" w:hAnsi="Calibri" w:cs="Calibri"/>
          <w:b/>
          <w:bCs/>
        </w:rPr>
        <w:lastRenderedPageBreak/>
        <w:t xml:space="preserve">Figure 1. </w:t>
      </w:r>
      <w:r w:rsidRPr="00A25A95">
        <w:rPr>
          <w:rFonts w:ascii="Calibri" w:hAnsi="Calibri" w:cs="Calibri"/>
          <w:b/>
          <w:bCs/>
        </w:rPr>
        <w:t>Study Population Flow Diagram</w:t>
      </w:r>
    </w:p>
    <w:p w14:paraId="3A2D2795" w14:textId="66F427C2" w:rsidR="007F2C53" w:rsidRPr="007F2C53" w:rsidRDefault="007F2C53" w:rsidP="007F2C53">
      <w:pPr>
        <w:spacing w:line="360" w:lineRule="auto"/>
        <w:jc w:val="center"/>
        <w:rPr>
          <w:rFonts w:ascii="Calibri" w:hAnsi="Calibri" w:cs="Calibri"/>
        </w:rPr>
      </w:pPr>
      <w:r w:rsidRPr="007F2C53">
        <w:rPr>
          <w:rFonts w:ascii="Calibri" w:hAnsi="Calibri" w:cs="Calibri"/>
          <w:noProof/>
        </w:rPr>
        <w:drawing>
          <wp:inline distT="0" distB="0" distL="0" distR="0" wp14:anchorId="5E45E348" wp14:editId="4AA9683A">
            <wp:extent cx="2968283" cy="5182800"/>
            <wp:effectExtent l="0" t="0" r="3810" b="0"/>
            <wp:docPr id="929125487" name="Picture 1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25487" name="Picture 11" descr="A diagram of a flowchart&#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6791" cy="5215116"/>
                    </a:xfrm>
                    <a:prstGeom prst="rect">
                      <a:avLst/>
                    </a:prstGeom>
                    <a:noFill/>
                    <a:ln>
                      <a:noFill/>
                    </a:ln>
                  </pic:spPr>
                </pic:pic>
              </a:graphicData>
            </a:graphic>
          </wp:inline>
        </w:drawing>
      </w:r>
    </w:p>
    <w:p w14:paraId="6F16EDE6" w14:textId="77777777" w:rsidR="00E94A91" w:rsidRDefault="00E94A91" w:rsidP="00DD5881">
      <w:pPr>
        <w:spacing w:line="360" w:lineRule="auto"/>
        <w:rPr>
          <w:rFonts w:ascii="Calibri" w:hAnsi="Calibri" w:cs="Calibri"/>
        </w:rPr>
      </w:pPr>
    </w:p>
    <w:p w14:paraId="14ED7ECE" w14:textId="64221E6D" w:rsidR="00ED4E01" w:rsidRPr="00ED4E01" w:rsidRDefault="009F1BFE" w:rsidP="00DD5881">
      <w:pPr>
        <w:spacing w:line="360" w:lineRule="auto"/>
        <w:rPr>
          <w:rFonts w:ascii="Calibri" w:hAnsi="Calibri" w:cs="Calibri"/>
        </w:rPr>
      </w:pPr>
      <w:r w:rsidRPr="009F1BFE">
        <w:rPr>
          <w:rFonts w:ascii="Calibri" w:hAnsi="Calibri" w:cs="Calibri"/>
        </w:rPr>
        <w:t xml:space="preserve">The participants were divided into two exposure groups. The first one is C&amp;O dependence, individuals </w:t>
      </w:r>
      <w:bookmarkStart w:id="0" w:name="_Hlk205848636"/>
      <w:r w:rsidRPr="009F1BFE">
        <w:rPr>
          <w:rFonts w:ascii="Calibri" w:hAnsi="Calibri" w:cs="Calibri"/>
        </w:rPr>
        <w:t xml:space="preserve">who have a history of cocaine use in the </w:t>
      </w:r>
      <w:r w:rsidR="00651855">
        <w:rPr>
          <w:rFonts w:ascii="Calibri" w:hAnsi="Calibri" w:cs="Calibri"/>
        </w:rPr>
        <w:t xml:space="preserve">any </w:t>
      </w:r>
      <w:r w:rsidRPr="009F1BFE">
        <w:rPr>
          <w:rFonts w:ascii="Calibri" w:hAnsi="Calibri" w:cs="Calibri"/>
        </w:rPr>
        <w:t>record in SDMD or DAISy</w:t>
      </w:r>
      <w:bookmarkEnd w:id="0"/>
      <w:r w:rsidRPr="009F1BFE">
        <w:rPr>
          <w:rFonts w:ascii="Calibri" w:hAnsi="Calibri" w:cs="Calibri"/>
        </w:rPr>
        <w:t xml:space="preserve">. The </w:t>
      </w:r>
      <w:r w:rsidR="00B16480" w:rsidRPr="009F1BFE">
        <w:rPr>
          <w:rFonts w:ascii="Calibri" w:hAnsi="Calibri" w:cs="Calibri"/>
        </w:rPr>
        <w:t xml:space="preserve">dependence </w:t>
      </w:r>
      <w:r w:rsidRPr="009F1BFE">
        <w:rPr>
          <w:rFonts w:ascii="Calibri" w:hAnsi="Calibri" w:cs="Calibri"/>
        </w:rPr>
        <w:t xml:space="preserve">of cocaine was determined based on the </w:t>
      </w:r>
      <w:r w:rsidR="00240B47">
        <w:rPr>
          <w:rFonts w:ascii="Calibri" w:hAnsi="Calibri" w:cs="Calibri"/>
        </w:rPr>
        <w:t>any</w:t>
      </w:r>
      <w:r w:rsidRPr="009F1BFE">
        <w:rPr>
          <w:rFonts w:ascii="Calibri" w:hAnsi="Calibri" w:cs="Calibri"/>
        </w:rPr>
        <w:t xml:space="preserve"> records of substances reported during the research period, including cocaine, crack cocaine or cocaine powder.</w:t>
      </w:r>
      <w:r w:rsidR="00ED4E01" w:rsidRPr="00ED4E01">
        <w:t xml:space="preserve"> </w:t>
      </w:r>
      <w:r w:rsidR="00ED4E01" w:rsidRPr="00ED4E01">
        <w:rPr>
          <w:rFonts w:ascii="Calibri" w:hAnsi="Calibri" w:cs="Calibri"/>
        </w:rPr>
        <w:t>The second group consists only of opioid dependence</w:t>
      </w:r>
      <w:r w:rsidR="00B16480">
        <w:rPr>
          <w:rFonts w:ascii="Calibri" w:hAnsi="Calibri" w:cs="Calibri" w:hint="eastAsia"/>
        </w:rPr>
        <w:t>,</w:t>
      </w:r>
      <w:r w:rsidR="00ED4E01" w:rsidRPr="00ED4E01">
        <w:rPr>
          <w:rFonts w:ascii="Calibri" w:hAnsi="Calibri" w:cs="Calibri"/>
        </w:rPr>
        <w:t xml:space="preserve"> whose cocaine use is not recorded in any SDMD or DAISy records.</w:t>
      </w:r>
    </w:p>
    <w:p w14:paraId="3E8768FF" w14:textId="0CDEBC4D" w:rsidR="00860624" w:rsidRPr="00467898" w:rsidRDefault="00860624" w:rsidP="00DD5881">
      <w:pPr>
        <w:spacing w:line="360" w:lineRule="auto"/>
        <w:rPr>
          <w:rFonts w:ascii="Calibri" w:hAnsi="Calibri" w:cs="Calibri"/>
        </w:rPr>
      </w:pPr>
      <w:r w:rsidRPr="00BB72A7">
        <w:rPr>
          <w:rFonts w:ascii="Calibri" w:hAnsi="Calibri" w:cs="Calibri"/>
        </w:rPr>
        <w:t>Covariates were measured at the annual observation period level and included calendar year, age group (15–34, 35–49, and 50–64 years), sex (male/female), NHS health board of residence (Greater Glasgow and Clyde</w:t>
      </w:r>
      <w:r w:rsidR="00B16480">
        <w:rPr>
          <w:rFonts w:ascii="Calibri" w:hAnsi="Calibri" w:cs="Calibri" w:hint="eastAsia"/>
        </w:rPr>
        <w:t xml:space="preserve"> (GGC)</w:t>
      </w:r>
      <w:r w:rsidRPr="00BB72A7">
        <w:rPr>
          <w:rFonts w:ascii="Calibri" w:hAnsi="Calibri" w:cs="Calibri"/>
        </w:rPr>
        <w:t xml:space="preserve">, Tayside, or Other regions), and </w:t>
      </w:r>
      <w:r w:rsidRPr="00BB72A7">
        <w:rPr>
          <w:rFonts w:ascii="Calibri" w:hAnsi="Calibri" w:cs="Calibri"/>
        </w:rPr>
        <w:lastRenderedPageBreak/>
        <w:t xml:space="preserve">accommodation </w:t>
      </w:r>
      <w:r w:rsidR="00B16480" w:rsidRPr="00B16480">
        <w:rPr>
          <w:rFonts w:ascii="Calibri" w:hAnsi="Calibri" w:cs="Calibri"/>
        </w:rPr>
        <w:t>status</w:t>
      </w:r>
      <w:r w:rsidR="00B16480">
        <w:rPr>
          <w:rFonts w:ascii="Calibri" w:hAnsi="Calibri" w:cs="Calibri" w:hint="eastAsia"/>
        </w:rPr>
        <w:t xml:space="preserve"> </w:t>
      </w:r>
      <w:r w:rsidR="00DA2C10">
        <w:rPr>
          <w:rFonts w:ascii="Calibri" w:hAnsi="Calibri" w:cs="Calibri" w:hint="eastAsia"/>
        </w:rPr>
        <w:t>(</w:t>
      </w:r>
      <w:r w:rsidR="00DA2C10" w:rsidRPr="00DA2C10">
        <w:rPr>
          <w:rFonts w:ascii="Calibri" w:hAnsi="Calibri" w:cs="Calibri"/>
        </w:rPr>
        <w:t>Homeless</w:t>
      </w:r>
      <w:r w:rsidR="00193201">
        <w:rPr>
          <w:rFonts w:ascii="Calibri" w:hAnsi="Calibri" w:cs="Calibri" w:hint="eastAsia"/>
        </w:rPr>
        <w:t xml:space="preserve">, </w:t>
      </w:r>
      <w:r w:rsidR="00193201" w:rsidRPr="00193201">
        <w:rPr>
          <w:rFonts w:ascii="Calibri" w:hAnsi="Calibri" w:cs="Calibri"/>
        </w:rPr>
        <w:t>Missing</w:t>
      </w:r>
      <w:r w:rsidR="00193201">
        <w:rPr>
          <w:rFonts w:ascii="Calibri" w:hAnsi="Calibri" w:cs="Calibri" w:hint="eastAsia"/>
        </w:rPr>
        <w:t>,</w:t>
      </w:r>
      <w:r w:rsidR="00193201" w:rsidRPr="00193201">
        <w:rPr>
          <w:rFonts w:ascii="Times New Roman" w:eastAsia="Times New Roman" w:hAnsi="Times New Roman" w:cs="Times New Roman"/>
          <w:kern w:val="0"/>
          <w14:ligatures w14:val="none"/>
        </w:rPr>
        <w:t xml:space="preserve"> </w:t>
      </w:r>
      <w:r w:rsidR="00193201" w:rsidRPr="00193201">
        <w:rPr>
          <w:rFonts w:ascii="Calibri" w:hAnsi="Calibri" w:cs="Calibri"/>
        </w:rPr>
        <w:t>Owned/Rented</w:t>
      </w:r>
      <w:r w:rsidR="00193201">
        <w:rPr>
          <w:rFonts w:ascii="Calibri" w:hAnsi="Calibri" w:cs="Calibri" w:hint="eastAsia"/>
        </w:rPr>
        <w:t xml:space="preserve"> and </w:t>
      </w:r>
      <w:r w:rsidR="00193201" w:rsidRPr="00193201">
        <w:rPr>
          <w:rFonts w:ascii="Calibri" w:hAnsi="Calibri" w:cs="Calibri"/>
        </w:rPr>
        <w:t>Other</w:t>
      </w:r>
      <w:r w:rsidR="00193201">
        <w:rPr>
          <w:rFonts w:ascii="Calibri" w:hAnsi="Calibri" w:cs="Calibri" w:hint="eastAsia"/>
        </w:rPr>
        <w:t>)</w:t>
      </w:r>
      <w:r w:rsidRPr="00BB72A7">
        <w:rPr>
          <w:rFonts w:ascii="Calibri" w:hAnsi="Calibri" w:cs="Calibri"/>
        </w:rPr>
        <w:t>.</w:t>
      </w:r>
      <w:r w:rsidR="0048085B" w:rsidRPr="0048085B">
        <w:t xml:space="preserve"> </w:t>
      </w:r>
      <w:bookmarkStart w:id="1" w:name="_Hlk205848467"/>
      <w:r w:rsidR="0048085B" w:rsidRPr="0048085B">
        <w:rPr>
          <w:rFonts w:ascii="Calibri" w:hAnsi="Calibri" w:cs="Calibri"/>
        </w:rPr>
        <w:t>The accommodation situation in prison was classified under "Others" because we have no way to determine that this person remained in prison throughout the study cohort, and the relevant data may be incomplete.</w:t>
      </w:r>
      <w:bookmarkEnd w:id="1"/>
    </w:p>
    <w:p w14:paraId="404A9D55" w14:textId="77777777" w:rsidR="00860624" w:rsidRPr="00467898" w:rsidRDefault="00860624" w:rsidP="00DD5881">
      <w:pPr>
        <w:spacing w:line="360" w:lineRule="auto"/>
        <w:rPr>
          <w:rFonts w:ascii="Calibri" w:hAnsi="Calibri" w:cs="Calibri"/>
        </w:rPr>
      </w:pPr>
    </w:p>
    <w:p w14:paraId="705368C0" w14:textId="11EE3DE6" w:rsidR="00860624" w:rsidRPr="00B95487" w:rsidRDefault="00860624" w:rsidP="00DD5881">
      <w:pPr>
        <w:spacing w:line="360" w:lineRule="auto"/>
        <w:rPr>
          <w:rFonts w:ascii="Calibri" w:hAnsi="Calibri" w:cs="Calibri"/>
          <w:i/>
          <w:iCs/>
        </w:rPr>
      </w:pPr>
      <w:r w:rsidRPr="00B95487">
        <w:rPr>
          <w:rFonts w:ascii="Calibri" w:hAnsi="Calibri" w:cs="Calibri"/>
          <w:i/>
          <w:iCs/>
        </w:rPr>
        <w:t>Statistical Analysis</w:t>
      </w:r>
    </w:p>
    <w:p w14:paraId="078D9616" w14:textId="44DC42C3" w:rsidR="00860624" w:rsidRPr="00467898" w:rsidRDefault="00860624" w:rsidP="00DD5881">
      <w:pPr>
        <w:spacing w:line="360" w:lineRule="auto"/>
        <w:rPr>
          <w:rFonts w:ascii="Calibri" w:hAnsi="Calibri" w:cs="Calibri"/>
        </w:rPr>
      </w:pPr>
      <w:r w:rsidRPr="00467898">
        <w:rPr>
          <w:rFonts w:ascii="Calibri" w:hAnsi="Calibri" w:cs="Calibri"/>
        </w:rPr>
        <w:t xml:space="preserve">Descriptive analyses were first conducted to summarise demographic, clinical, and exposure characteristics of the cohort, stratified by drug </w:t>
      </w:r>
      <w:r w:rsidR="00B16480" w:rsidRPr="009F1BFE">
        <w:rPr>
          <w:rFonts w:ascii="Calibri" w:hAnsi="Calibri" w:cs="Calibri"/>
        </w:rPr>
        <w:t>dependence</w:t>
      </w:r>
      <w:r w:rsidR="00B16480" w:rsidRPr="00467898">
        <w:rPr>
          <w:rFonts w:ascii="Calibri" w:hAnsi="Calibri" w:cs="Calibri"/>
        </w:rPr>
        <w:t xml:space="preserve"> </w:t>
      </w:r>
      <w:r w:rsidRPr="00467898">
        <w:rPr>
          <w:rFonts w:ascii="Calibri" w:hAnsi="Calibri" w:cs="Calibri"/>
        </w:rPr>
        <w:t>category (opioid-only vs. cocaine and opioid). Categorical variables were presented as counts and percentages</w:t>
      </w:r>
      <w:r w:rsidR="003B259B">
        <w:rPr>
          <w:rFonts w:ascii="Calibri" w:hAnsi="Calibri" w:cs="Calibri" w:hint="eastAsia"/>
        </w:rPr>
        <w:t>.</w:t>
      </w:r>
    </w:p>
    <w:p w14:paraId="30FBC765" w14:textId="46D79AF6" w:rsidR="00860624" w:rsidRPr="00467898" w:rsidRDefault="00860624" w:rsidP="00DD5881">
      <w:pPr>
        <w:spacing w:line="360" w:lineRule="auto"/>
        <w:rPr>
          <w:rFonts w:ascii="Calibri" w:hAnsi="Calibri" w:cs="Calibri"/>
        </w:rPr>
      </w:pPr>
      <w:r w:rsidRPr="00467898">
        <w:rPr>
          <w:rFonts w:ascii="Calibri" w:hAnsi="Calibri" w:cs="Calibri"/>
        </w:rPr>
        <w:t xml:space="preserve">Crude rates of drug-related deaths (DRD), all-cause mortality (ACM), non-fatal overdose (NFOD), and cardiovascular mortality (CVD) were calculated per 1,000 person-years (PY) for each exposure group across </w:t>
      </w:r>
      <w:r w:rsidR="0049505A" w:rsidRPr="009E74AE">
        <w:rPr>
          <w:rFonts w:ascii="Calibri" w:hAnsi="Calibri" w:cs="Calibri"/>
        </w:rPr>
        <w:t xml:space="preserve">calendar </w:t>
      </w:r>
      <w:r w:rsidRPr="00467898">
        <w:rPr>
          <w:rFonts w:ascii="Calibri" w:hAnsi="Calibri" w:cs="Calibri"/>
        </w:rPr>
        <w:t xml:space="preserve">years from 2015 to 2022. </w:t>
      </w:r>
      <w:r w:rsidRPr="0013739F">
        <w:rPr>
          <w:rFonts w:ascii="Calibri" w:hAnsi="Calibri" w:cs="Calibri"/>
        </w:rPr>
        <w:t>Person-time at risk was calculated for each individual from the date of cohort entry to the earliest of death, two years after the last OAT prescription, or study end. Rates were accompanied by 95% confidence intervals</w:t>
      </w:r>
      <w:r w:rsidR="00F55C10" w:rsidRPr="0013739F">
        <w:rPr>
          <w:rFonts w:ascii="Calibri" w:hAnsi="Calibri" w:cs="Calibri" w:hint="eastAsia"/>
        </w:rPr>
        <w:t xml:space="preserve"> (</w:t>
      </w:r>
      <w:r w:rsidR="006A0116" w:rsidRPr="0013739F">
        <w:rPr>
          <w:rFonts w:ascii="Calibri" w:hAnsi="Calibri" w:cs="Calibri" w:hint="eastAsia"/>
        </w:rPr>
        <w:t>CI</w:t>
      </w:r>
      <w:r w:rsidR="00F55C10" w:rsidRPr="0013739F">
        <w:rPr>
          <w:rFonts w:ascii="Calibri" w:hAnsi="Calibri" w:cs="Calibri" w:hint="eastAsia"/>
        </w:rPr>
        <w:t>)</w:t>
      </w:r>
      <w:r w:rsidRPr="0013739F">
        <w:rPr>
          <w:rFonts w:ascii="Calibri" w:hAnsi="Calibri" w:cs="Calibri"/>
        </w:rPr>
        <w:t xml:space="preserve"> and plotted to illustrate temporal trends.</w:t>
      </w:r>
    </w:p>
    <w:p w14:paraId="6A347643" w14:textId="0C1488A8" w:rsidR="00860624" w:rsidRPr="00467898" w:rsidRDefault="00833AB3" w:rsidP="00DD5881">
      <w:pPr>
        <w:spacing w:line="360" w:lineRule="auto"/>
        <w:rPr>
          <w:rFonts w:ascii="Calibri" w:hAnsi="Calibri" w:cs="Calibri"/>
        </w:rPr>
      </w:pPr>
      <w:r w:rsidRPr="00833AB3">
        <w:rPr>
          <w:rFonts w:ascii="Calibri" w:hAnsi="Calibri" w:cs="Calibri"/>
        </w:rPr>
        <w:t xml:space="preserve">To evaluate the association between the exposure group and each outcome, a Poisson regression model with a logarithmic link function was fitted, using the natural logarithm of PY as the offset term. The unadjusted model only includes exposure variables (drug </w:t>
      </w:r>
      <w:r w:rsidR="0067004A">
        <w:rPr>
          <w:rFonts w:ascii="Calibri" w:hAnsi="Calibri" w:cs="Calibri" w:hint="eastAsia"/>
        </w:rPr>
        <w:t>type</w:t>
      </w:r>
      <w:r w:rsidRPr="00833AB3">
        <w:rPr>
          <w:rFonts w:ascii="Calibri" w:hAnsi="Calibri" w:cs="Calibri"/>
        </w:rPr>
        <w:t xml:space="preserve">). Then adjust the model to incorporate all potential confounding factors: age, gender, calendar year, residential </w:t>
      </w:r>
      <w:r w:rsidR="0067004A">
        <w:rPr>
          <w:rFonts w:ascii="Calibri" w:hAnsi="Calibri" w:cs="Calibri" w:hint="eastAsia"/>
        </w:rPr>
        <w:t xml:space="preserve">board </w:t>
      </w:r>
      <w:r w:rsidRPr="00833AB3">
        <w:rPr>
          <w:rFonts w:ascii="Calibri" w:hAnsi="Calibri" w:cs="Calibri"/>
        </w:rPr>
        <w:t xml:space="preserve">and accommodation status. </w:t>
      </w:r>
      <w:r w:rsidR="003525AB" w:rsidRPr="003525AB">
        <w:rPr>
          <w:rFonts w:ascii="Calibri" w:hAnsi="Calibri" w:cs="Calibri"/>
        </w:rPr>
        <w:t>The model results were expressed as an incidence rate ratio</w:t>
      </w:r>
      <w:r w:rsidR="003525AB">
        <w:rPr>
          <w:rFonts w:ascii="Calibri" w:hAnsi="Calibri" w:cs="Calibri" w:hint="eastAsia"/>
        </w:rPr>
        <w:t xml:space="preserve"> (IRR)</w:t>
      </w:r>
      <w:r w:rsidR="003525AB" w:rsidRPr="003525AB">
        <w:rPr>
          <w:rFonts w:ascii="Calibri" w:hAnsi="Calibri" w:cs="Calibri"/>
        </w:rPr>
        <w:t xml:space="preserve"> with a 95% </w:t>
      </w:r>
      <w:r w:rsidR="006A0116">
        <w:rPr>
          <w:rFonts w:ascii="Calibri" w:hAnsi="Calibri" w:cs="Calibri" w:hint="eastAsia"/>
        </w:rPr>
        <w:t>CI</w:t>
      </w:r>
      <w:r w:rsidR="003525AB" w:rsidRPr="003525AB">
        <w:rPr>
          <w:rFonts w:ascii="Calibri" w:hAnsi="Calibri" w:cs="Calibri"/>
        </w:rPr>
        <w:t>.</w:t>
      </w:r>
    </w:p>
    <w:p w14:paraId="79A9C519" w14:textId="64ECE2C4" w:rsidR="00860624" w:rsidRPr="00467898" w:rsidRDefault="00860624" w:rsidP="00DD5881">
      <w:pPr>
        <w:spacing w:line="360" w:lineRule="auto"/>
        <w:rPr>
          <w:rFonts w:ascii="Calibri" w:hAnsi="Calibri" w:cs="Calibri"/>
        </w:rPr>
      </w:pPr>
      <w:r w:rsidRPr="00467898">
        <w:rPr>
          <w:rFonts w:ascii="Calibri" w:hAnsi="Calibri" w:cs="Calibri"/>
        </w:rPr>
        <w:t>Potential effect modification by sex and age group was examined for each outcome by including an interaction term between sex and age group in the fully adjusted model, and likelihood ratio tests (LRT) were used to compare models with and without the interaction term. A statistically significant interaction was defined as p &lt; 0.05.</w:t>
      </w:r>
    </w:p>
    <w:p w14:paraId="6B313921" w14:textId="77777777" w:rsidR="00691656" w:rsidRPr="00467898" w:rsidRDefault="00691656" w:rsidP="00DD5881">
      <w:pPr>
        <w:spacing w:line="360" w:lineRule="auto"/>
        <w:rPr>
          <w:rFonts w:ascii="Calibri" w:hAnsi="Calibri" w:cs="Calibri"/>
        </w:rPr>
      </w:pPr>
    </w:p>
    <w:p w14:paraId="43861ACD" w14:textId="77777777" w:rsidR="00860624" w:rsidRDefault="00860624" w:rsidP="00DD5881">
      <w:pPr>
        <w:spacing w:line="360" w:lineRule="auto"/>
        <w:rPr>
          <w:rFonts w:ascii="Calibri" w:hAnsi="Calibri" w:cs="Calibri"/>
          <w:b/>
          <w:bCs/>
        </w:rPr>
      </w:pPr>
      <w:r w:rsidRPr="00467898">
        <w:rPr>
          <w:rFonts w:ascii="Calibri" w:hAnsi="Calibri" w:cs="Calibri"/>
          <w:b/>
          <w:bCs/>
        </w:rPr>
        <w:t>Results</w:t>
      </w:r>
    </w:p>
    <w:p w14:paraId="1F039497" w14:textId="77777777" w:rsidR="00042F4F" w:rsidRDefault="00042F4F" w:rsidP="00DD5881">
      <w:pPr>
        <w:spacing w:line="360" w:lineRule="auto"/>
        <w:rPr>
          <w:rFonts w:ascii="Calibri" w:hAnsi="Calibri" w:cs="Calibri"/>
          <w:b/>
          <w:bCs/>
        </w:rPr>
      </w:pPr>
    </w:p>
    <w:p w14:paraId="08BA7937" w14:textId="77777777" w:rsidR="007F6166" w:rsidRPr="00B95487" w:rsidRDefault="007F6166" w:rsidP="00DD5881">
      <w:pPr>
        <w:spacing w:line="360" w:lineRule="auto"/>
        <w:rPr>
          <w:rFonts w:ascii="Calibri" w:hAnsi="Calibri" w:cs="Calibri"/>
          <w:i/>
          <w:iCs/>
        </w:rPr>
      </w:pPr>
      <w:r w:rsidRPr="00B95487">
        <w:rPr>
          <w:rFonts w:ascii="Calibri" w:hAnsi="Calibri" w:cs="Calibri"/>
          <w:i/>
          <w:iCs/>
        </w:rPr>
        <w:lastRenderedPageBreak/>
        <w:t>Characteristics of the Study Cohort</w:t>
      </w:r>
    </w:p>
    <w:p w14:paraId="74C8DD03" w14:textId="2770D629" w:rsidR="007F6166" w:rsidRDefault="007F6166" w:rsidP="00DD5881">
      <w:pPr>
        <w:spacing w:line="360" w:lineRule="auto"/>
        <w:rPr>
          <w:rFonts w:ascii="Calibri" w:hAnsi="Calibri" w:cs="Calibri"/>
        </w:rPr>
      </w:pPr>
      <w:r w:rsidRPr="00467898">
        <w:rPr>
          <w:rFonts w:ascii="Calibri" w:hAnsi="Calibri" w:cs="Calibri"/>
        </w:rPr>
        <w:t xml:space="preserve">The final study cohort comprised 37,409 unique individuals aged 15–64 years who were resident in Scotland and had received at least one opioid agonist therapy (OAT) prescription between 2015 and 2022. Table </w:t>
      </w:r>
      <w:r w:rsidR="00E307CE">
        <w:rPr>
          <w:rFonts w:ascii="Calibri" w:hAnsi="Calibri" w:cs="Calibri" w:hint="eastAsia"/>
        </w:rPr>
        <w:t>1</w:t>
      </w:r>
      <w:r w:rsidRPr="00467898">
        <w:rPr>
          <w:rFonts w:ascii="Calibri" w:hAnsi="Calibri" w:cs="Calibri"/>
        </w:rPr>
        <w:t xml:space="preserve"> summarises the baseline demographic</w:t>
      </w:r>
      <w:r w:rsidR="00E84253">
        <w:rPr>
          <w:rFonts w:ascii="Calibri" w:hAnsi="Calibri" w:cs="Calibri" w:hint="eastAsia"/>
        </w:rPr>
        <w:t>,</w:t>
      </w:r>
      <w:r w:rsidRPr="00467898">
        <w:rPr>
          <w:rFonts w:ascii="Calibri" w:hAnsi="Calibri" w:cs="Calibri"/>
        </w:rPr>
        <w:t xml:space="preserve"> clinical</w:t>
      </w:r>
      <w:r w:rsidR="00E84253">
        <w:rPr>
          <w:rFonts w:ascii="Calibri" w:hAnsi="Calibri" w:cs="Calibri" w:hint="eastAsia"/>
        </w:rPr>
        <w:t xml:space="preserve"> and </w:t>
      </w:r>
      <w:r w:rsidR="00E84253" w:rsidRPr="00467898">
        <w:rPr>
          <w:rFonts w:ascii="Calibri" w:hAnsi="Calibri" w:cs="Calibri"/>
        </w:rPr>
        <w:t>exposure</w:t>
      </w:r>
      <w:r w:rsidRPr="00467898">
        <w:rPr>
          <w:rFonts w:ascii="Calibri" w:hAnsi="Calibri" w:cs="Calibri"/>
        </w:rPr>
        <w:t xml:space="preserve"> characteristics. </w:t>
      </w:r>
      <w:r w:rsidR="00E84253" w:rsidRPr="00467898">
        <w:rPr>
          <w:rFonts w:ascii="Calibri" w:hAnsi="Calibri" w:cs="Calibri"/>
        </w:rPr>
        <w:t>Most</w:t>
      </w:r>
      <w:r w:rsidRPr="00467898">
        <w:rPr>
          <w:rFonts w:ascii="Calibri" w:hAnsi="Calibri" w:cs="Calibri"/>
        </w:rPr>
        <w:t xml:space="preserve"> </w:t>
      </w:r>
      <w:r w:rsidR="00E84253" w:rsidRPr="00467898">
        <w:rPr>
          <w:rFonts w:ascii="Calibri" w:hAnsi="Calibri" w:cs="Calibri"/>
        </w:rPr>
        <w:t xml:space="preserve">individuals </w:t>
      </w:r>
      <w:r w:rsidRPr="00467898">
        <w:rPr>
          <w:rFonts w:ascii="Calibri" w:hAnsi="Calibri" w:cs="Calibri"/>
        </w:rPr>
        <w:t>were male (68.3%), with females accounting for 31.7% of the cohort. The age distribution was skewed towards older adults, with 49.8% aged 35–49 years, 44.4% aged 15–34 years, and only 5.8% aged 50–64 years at the time of inclusion.</w:t>
      </w:r>
    </w:p>
    <w:p w14:paraId="38DD1782" w14:textId="77777777" w:rsidR="00D4731D" w:rsidRDefault="00D4731D" w:rsidP="00DD5881">
      <w:pPr>
        <w:spacing w:line="360" w:lineRule="auto"/>
        <w:rPr>
          <w:rFonts w:ascii="Calibri" w:hAnsi="Calibri" w:cs="Calibri"/>
        </w:rPr>
      </w:pPr>
    </w:p>
    <w:p w14:paraId="35ACDEA9" w14:textId="2DAEDAA1" w:rsidR="00223117" w:rsidRPr="00A25A95" w:rsidRDefault="00571C9E" w:rsidP="00D4731D">
      <w:pPr>
        <w:spacing w:line="360" w:lineRule="auto"/>
        <w:jc w:val="center"/>
        <w:rPr>
          <w:rFonts w:ascii="Calibri" w:hAnsi="Calibri" w:cs="Calibri"/>
          <w:b/>
          <w:bCs/>
        </w:rPr>
      </w:pPr>
      <w:r w:rsidRPr="00E1248B">
        <w:rPr>
          <w:rFonts w:ascii="Calibri" w:hAnsi="Calibri" w:cs="Calibri"/>
          <w:b/>
          <w:bCs/>
        </w:rPr>
        <w:t xml:space="preserve">Figure </w:t>
      </w:r>
      <w:r w:rsidR="00B741BC" w:rsidRPr="00A25A95">
        <w:rPr>
          <w:rFonts w:ascii="Calibri" w:hAnsi="Calibri" w:cs="Calibri" w:hint="eastAsia"/>
          <w:b/>
          <w:bCs/>
        </w:rPr>
        <w:t>2</w:t>
      </w:r>
      <w:r w:rsidRPr="00E1248B">
        <w:rPr>
          <w:rFonts w:ascii="Calibri" w:hAnsi="Calibri" w:cs="Calibri"/>
          <w:b/>
          <w:bCs/>
        </w:rPr>
        <w:t xml:space="preserve">. </w:t>
      </w:r>
      <w:r w:rsidR="007941E8" w:rsidRPr="00A25A95">
        <w:rPr>
          <w:rFonts w:ascii="Calibri" w:hAnsi="Calibri" w:cs="Calibri" w:hint="eastAsia"/>
          <w:b/>
          <w:bCs/>
        </w:rPr>
        <w:t>Age Distribution of Opioid</w:t>
      </w:r>
      <w:r w:rsidR="00D4731D" w:rsidRPr="00A25A95">
        <w:rPr>
          <w:rFonts w:ascii="Calibri" w:hAnsi="Calibri" w:cs="Calibri" w:hint="eastAsia"/>
          <w:b/>
          <w:bCs/>
        </w:rPr>
        <w:t>-Dependent Individuals</w:t>
      </w:r>
    </w:p>
    <w:p w14:paraId="58D3B878" w14:textId="47E289AA" w:rsidR="007F6166" w:rsidRDefault="00FE646E" w:rsidP="00D4731D">
      <w:pPr>
        <w:spacing w:line="360" w:lineRule="auto"/>
        <w:jc w:val="center"/>
        <w:rPr>
          <w:rFonts w:ascii="Calibri" w:hAnsi="Calibri" w:cs="Calibri"/>
        </w:rPr>
      </w:pPr>
      <w:r w:rsidRPr="00FE646E">
        <w:rPr>
          <w:rFonts w:ascii="Calibri" w:hAnsi="Calibri" w:cs="Calibri"/>
          <w:noProof/>
        </w:rPr>
        <w:drawing>
          <wp:inline distT="0" distB="0" distL="0" distR="0" wp14:anchorId="3C7FFBC8" wp14:editId="3D6894B8">
            <wp:extent cx="5479366" cy="3868825"/>
            <wp:effectExtent l="0" t="0" r="7620" b="0"/>
            <wp:docPr id="1540491497" name="Picture 2" descr="A graph of a number of ag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91497" name="Picture 2" descr="A graph of a number of age distribution&#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43326" cy="3913985"/>
                    </a:xfrm>
                    <a:prstGeom prst="rect">
                      <a:avLst/>
                    </a:prstGeom>
                    <a:noFill/>
                    <a:ln>
                      <a:noFill/>
                    </a:ln>
                  </pic:spPr>
                </pic:pic>
              </a:graphicData>
            </a:graphic>
          </wp:inline>
        </w:drawing>
      </w:r>
    </w:p>
    <w:p w14:paraId="48FED057" w14:textId="77777777" w:rsidR="00D4731D" w:rsidRPr="00467898" w:rsidRDefault="00D4731D" w:rsidP="00D4731D">
      <w:pPr>
        <w:spacing w:line="360" w:lineRule="auto"/>
        <w:jc w:val="center"/>
        <w:rPr>
          <w:rFonts w:ascii="Calibri" w:hAnsi="Calibri" w:cs="Calibri"/>
        </w:rPr>
      </w:pPr>
    </w:p>
    <w:p w14:paraId="6104AA56" w14:textId="241607B5" w:rsidR="007F6166" w:rsidRPr="00467898" w:rsidRDefault="005B02D4" w:rsidP="00DD5881">
      <w:pPr>
        <w:spacing w:line="360" w:lineRule="auto"/>
        <w:rPr>
          <w:rFonts w:ascii="Calibri" w:hAnsi="Calibri" w:cs="Calibri"/>
        </w:rPr>
      </w:pPr>
      <w:r w:rsidRPr="005B02D4">
        <w:rPr>
          <w:rFonts w:ascii="Calibri" w:hAnsi="Calibri" w:cs="Calibri"/>
        </w:rPr>
        <w:t xml:space="preserve">In terms of the </w:t>
      </w:r>
      <w:r w:rsidR="00870FB5" w:rsidRPr="005B02D4">
        <w:rPr>
          <w:rFonts w:ascii="Calibri" w:hAnsi="Calibri" w:cs="Calibri"/>
        </w:rPr>
        <w:t>drug</w:t>
      </w:r>
      <w:r w:rsidR="00870FB5" w:rsidRPr="00467898">
        <w:rPr>
          <w:rFonts w:ascii="Calibri" w:hAnsi="Calibri" w:cs="Calibri"/>
        </w:rPr>
        <w:t xml:space="preserve"> </w:t>
      </w:r>
      <w:r w:rsidRPr="00467898">
        <w:rPr>
          <w:rFonts w:ascii="Calibri" w:hAnsi="Calibri" w:cs="Calibri"/>
        </w:rPr>
        <w:t>dependence</w:t>
      </w:r>
      <w:r w:rsidR="007F6166" w:rsidRPr="00467898">
        <w:rPr>
          <w:rFonts w:ascii="Calibri" w:hAnsi="Calibri" w:cs="Calibri"/>
        </w:rPr>
        <w:t xml:space="preserve">, 78.4% (n = 29,335) were classified as opioid-only </w:t>
      </w:r>
      <w:r w:rsidR="002B7C5F" w:rsidRPr="00467898">
        <w:rPr>
          <w:rFonts w:ascii="Calibri" w:hAnsi="Calibri" w:cs="Calibri"/>
        </w:rPr>
        <w:t>dependence</w:t>
      </w:r>
      <w:r w:rsidR="007F6166" w:rsidRPr="00467898">
        <w:rPr>
          <w:rFonts w:ascii="Calibri" w:hAnsi="Calibri" w:cs="Calibri"/>
        </w:rPr>
        <w:t xml:space="preserve">, while 21.6% (n = 8,074) met the definition for </w:t>
      </w:r>
      <w:r w:rsidR="002B7C5F" w:rsidRPr="00467898">
        <w:rPr>
          <w:rFonts w:ascii="Calibri" w:hAnsi="Calibri" w:cs="Calibri"/>
        </w:rPr>
        <w:t xml:space="preserve">C&amp;O </w:t>
      </w:r>
      <w:r w:rsidR="007F6166" w:rsidRPr="00467898">
        <w:rPr>
          <w:rFonts w:ascii="Calibri" w:hAnsi="Calibri" w:cs="Calibri"/>
        </w:rPr>
        <w:t xml:space="preserve">dependence. </w:t>
      </w:r>
    </w:p>
    <w:p w14:paraId="3AC84D1C" w14:textId="731D7E39" w:rsidR="007F6166" w:rsidRPr="00467898" w:rsidRDefault="007F6166" w:rsidP="00DD5881">
      <w:pPr>
        <w:spacing w:line="360" w:lineRule="auto"/>
        <w:rPr>
          <w:rFonts w:ascii="Calibri" w:hAnsi="Calibri" w:cs="Calibri"/>
        </w:rPr>
      </w:pPr>
      <w:r w:rsidRPr="00467898">
        <w:rPr>
          <w:rFonts w:ascii="Calibri" w:hAnsi="Calibri" w:cs="Calibri"/>
        </w:rPr>
        <w:t xml:space="preserve">Indicators of drug-related harm showed that 14.9% of individuals experienced at least one non-fatal overdose (NFOD) during the observation period, while 8.7% died a drug-related </w:t>
      </w:r>
      <w:r w:rsidRPr="00467898">
        <w:rPr>
          <w:rFonts w:ascii="Calibri" w:hAnsi="Calibri" w:cs="Calibri"/>
        </w:rPr>
        <w:lastRenderedPageBreak/>
        <w:t>death (DRD). All-cause mortality (ACM) occurred in 14.7% of the cohort, and cardiovascular mortality (CVD) accounted for 1.35% of deaths.</w:t>
      </w:r>
    </w:p>
    <w:p w14:paraId="31430636" w14:textId="73A7DD0A" w:rsidR="007F6166" w:rsidRPr="00A25A95" w:rsidRDefault="007F6166" w:rsidP="00DD5881">
      <w:pPr>
        <w:spacing w:line="360" w:lineRule="auto"/>
        <w:rPr>
          <w:rFonts w:ascii="Calibri" w:hAnsi="Calibri" w:cs="Calibri"/>
        </w:rPr>
      </w:pPr>
      <w:r w:rsidRPr="00467898">
        <w:rPr>
          <w:rFonts w:ascii="Calibri" w:hAnsi="Calibri" w:cs="Calibri"/>
        </w:rPr>
        <w:t xml:space="preserve">Accommodation status was dominated by the owned/rented category (72.9%), </w:t>
      </w:r>
      <w:r w:rsidR="00DA595A" w:rsidRPr="00DA595A">
        <w:rPr>
          <w:rFonts w:ascii="Calibri" w:hAnsi="Calibri" w:cs="Calibri"/>
        </w:rPr>
        <w:t>but a significant proportion were homeless (9.1%)</w:t>
      </w:r>
      <w:r w:rsidRPr="00467898">
        <w:rPr>
          <w:rFonts w:ascii="Calibri" w:hAnsi="Calibri" w:cs="Calibri"/>
        </w:rPr>
        <w:t xml:space="preserve">, living in other types of accommodation (8.9%), or </w:t>
      </w:r>
      <w:r w:rsidRPr="00A25A95">
        <w:rPr>
          <w:rFonts w:ascii="Calibri" w:hAnsi="Calibri" w:cs="Calibri"/>
        </w:rPr>
        <w:t xml:space="preserve">missing accommodation data (9.2%). Geographically, the largest </w:t>
      </w:r>
      <w:r w:rsidR="006A58D4" w:rsidRPr="00A25A95">
        <w:rPr>
          <w:rFonts w:ascii="Calibri" w:hAnsi="Calibri" w:cs="Calibri"/>
        </w:rPr>
        <w:t xml:space="preserve">part </w:t>
      </w:r>
      <w:r w:rsidRPr="00A25A95">
        <w:rPr>
          <w:rFonts w:ascii="Calibri" w:hAnsi="Calibri" w:cs="Calibri"/>
        </w:rPr>
        <w:t>of the cohort resided in Other NHS regions in Scotland (65.0%), followed by Greater Glasgow and Clyde (26.7%) and Tayside (8.3%).</w:t>
      </w:r>
    </w:p>
    <w:p w14:paraId="7C5C5DEE" w14:textId="77777777" w:rsidR="007F6166" w:rsidRPr="00A25A95" w:rsidRDefault="007F6166" w:rsidP="00DD5881">
      <w:pPr>
        <w:spacing w:line="360" w:lineRule="auto"/>
        <w:rPr>
          <w:rFonts w:ascii="Calibri" w:hAnsi="Calibri" w:cs="Calibri"/>
          <w:b/>
          <w:bCs/>
        </w:rPr>
      </w:pPr>
    </w:p>
    <w:p w14:paraId="5FFACF5B" w14:textId="71D502C4" w:rsidR="00860624" w:rsidRPr="00E1248B" w:rsidRDefault="00860624" w:rsidP="00D4731D">
      <w:pPr>
        <w:spacing w:line="360" w:lineRule="auto"/>
        <w:jc w:val="center"/>
        <w:rPr>
          <w:rFonts w:ascii="Calibri" w:hAnsi="Calibri" w:cs="Calibri"/>
        </w:rPr>
      </w:pPr>
      <w:r w:rsidRPr="00E1248B">
        <w:rPr>
          <w:rFonts w:ascii="Calibri" w:hAnsi="Calibri" w:cs="Calibri"/>
          <w:b/>
          <w:bCs/>
        </w:rPr>
        <w:t xml:space="preserve">Table </w:t>
      </w:r>
      <w:r w:rsidR="00E307CE" w:rsidRPr="00A25A95">
        <w:rPr>
          <w:rFonts w:ascii="Calibri" w:hAnsi="Calibri" w:cs="Calibri"/>
          <w:b/>
          <w:bCs/>
        </w:rPr>
        <w:t>1</w:t>
      </w:r>
      <w:bookmarkStart w:id="2" w:name="_Hlk205848729"/>
      <w:r w:rsidRPr="00E1248B">
        <w:rPr>
          <w:rFonts w:ascii="Calibri" w:hAnsi="Calibri" w:cs="Calibri"/>
          <w:b/>
          <w:bCs/>
        </w:rPr>
        <w:t xml:space="preserve">. Characteristics of the </w:t>
      </w:r>
      <w:bookmarkEnd w:id="2"/>
      <w:r w:rsidRPr="00E1248B">
        <w:rPr>
          <w:rFonts w:ascii="Calibri" w:hAnsi="Calibri" w:cs="Calibri"/>
          <w:b/>
          <w:bCs/>
        </w:rPr>
        <w:t>Study Cohort</w:t>
      </w:r>
    </w:p>
    <w:tbl>
      <w:tblPr>
        <w:tblStyle w:val="TableGrid"/>
        <w:tblW w:w="4816" w:type="dxa"/>
        <w:jc w:val="center"/>
        <w:tblLook w:val="04A0" w:firstRow="1" w:lastRow="0" w:firstColumn="1" w:lastColumn="0" w:noHBand="0" w:noVBand="1"/>
      </w:tblPr>
      <w:tblGrid>
        <w:gridCol w:w="3161"/>
        <w:gridCol w:w="888"/>
        <w:gridCol w:w="767"/>
      </w:tblGrid>
      <w:tr w:rsidR="00860624" w:rsidRPr="00E1248B" w14:paraId="2071454A" w14:textId="77777777" w:rsidTr="00D4731D">
        <w:trPr>
          <w:trHeight w:val="423"/>
          <w:jc w:val="center"/>
        </w:trPr>
        <w:tc>
          <w:tcPr>
            <w:tcW w:w="0" w:type="auto"/>
            <w:hideMark/>
          </w:tcPr>
          <w:p w14:paraId="33F1C567" w14:textId="77777777" w:rsidR="00860624" w:rsidRPr="00E1248B" w:rsidRDefault="00860624" w:rsidP="00DD5881">
            <w:pPr>
              <w:spacing w:line="360" w:lineRule="auto"/>
              <w:rPr>
                <w:rFonts w:ascii="Calibri" w:hAnsi="Calibri" w:cs="Calibri"/>
                <w:b/>
                <w:bCs/>
              </w:rPr>
            </w:pPr>
            <w:r w:rsidRPr="00E1248B">
              <w:rPr>
                <w:rFonts w:ascii="Calibri" w:hAnsi="Calibri" w:cs="Calibri"/>
                <w:b/>
                <w:bCs/>
              </w:rPr>
              <w:t>Characteristic</w:t>
            </w:r>
          </w:p>
        </w:tc>
        <w:tc>
          <w:tcPr>
            <w:tcW w:w="0" w:type="auto"/>
            <w:hideMark/>
          </w:tcPr>
          <w:p w14:paraId="5D2ED71C" w14:textId="77777777" w:rsidR="00860624" w:rsidRPr="00E1248B" w:rsidRDefault="00860624" w:rsidP="00DD5881">
            <w:pPr>
              <w:spacing w:line="360" w:lineRule="auto"/>
              <w:rPr>
                <w:rFonts w:ascii="Calibri" w:hAnsi="Calibri" w:cs="Calibri"/>
                <w:b/>
                <w:bCs/>
              </w:rPr>
            </w:pPr>
            <w:r w:rsidRPr="00E1248B">
              <w:rPr>
                <w:rFonts w:ascii="Calibri" w:hAnsi="Calibri" w:cs="Calibri"/>
                <w:b/>
                <w:bCs/>
              </w:rPr>
              <w:t>N</w:t>
            </w:r>
          </w:p>
        </w:tc>
        <w:tc>
          <w:tcPr>
            <w:tcW w:w="0" w:type="auto"/>
            <w:hideMark/>
          </w:tcPr>
          <w:p w14:paraId="68FF2D14" w14:textId="77777777" w:rsidR="00860624" w:rsidRPr="00E1248B" w:rsidRDefault="00860624" w:rsidP="00DD5881">
            <w:pPr>
              <w:spacing w:line="360" w:lineRule="auto"/>
              <w:rPr>
                <w:rFonts w:ascii="Calibri" w:hAnsi="Calibri" w:cs="Calibri"/>
                <w:b/>
                <w:bCs/>
              </w:rPr>
            </w:pPr>
            <w:r w:rsidRPr="00E1248B">
              <w:rPr>
                <w:rFonts w:ascii="Calibri" w:hAnsi="Calibri" w:cs="Calibri"/>
                <w:b/>
                <w:bCs/>
              </w:rPr>
              <w:t>%</w:t>
            </w:r>
          </w:p>
        </w:tc>
      </w:tr>
      <w:tr w:rsidR="00860624" w:rsidRPr="00E1248B" w14:paraId="219E7235" w14:textId="77777777" w:rsidTr="00D4731D">
        <w:trPr>
          <w:trHeight w:val="438"/>
          <w:jc w:val="center"/>
        </w:trPr>
        <w:tc>
          <w:tcPr>
            <w:tcW w:w="0" w:type="auto"/>
            <w:hideMark/>
          </w:tcPr>
          <w:p w14:paraId="347BE660" w14:textId="77777777" w:rsidR="00860624" w:rsidRPr="00E1248B" w:rsidRDefault="00860624" w:rsidP="00DD5881">
            <w:pPr>
              <w:spacing w:line="360" w:lineRule="auto"/>
              <w:rPr>
                <w:rFonts w:ascii="Calibri" w:hAnsi="Calibri" w:cs="Calibri"/>
              </w:rPr>
            </w:pPr>
            <w:r w:rsidRPr="00E1248B">
              <w:rPr>
                <w:rFonts w:ascii="Calibri" w:hAnsi="Calibri" w:cs="Calibri"/>
                <w:b/>
                <w:bCs/>
              </w:rPr>
              <w:t>Total participants</w:t>
            </w:r>
          </w:p>
        </w:tc>
        <w:tc>
          <w:tcPr>
            <w:tcW w:w="0" w:type="auto"/>
            <w:hideMark/>
          </w:tcPr>
          <w:p w14:paraId="1041B716" w14:textId="77777777" w:rsidR="00860624" w:rsidRPr="00E1248B" w:rsidRDefault="00860624" w:rsidP="00DD5881">
            <w:pPr>
              <w:spacing w:line="360" w:lineRule="auto"/>
              <w:rPr>
                <w:rFonts w:ascii="Calibri" w:hAnsi="Calibri" w:cs="Calibri"/>
              </w:rPr>
            </w:pPr>
            <w:r w:rsidRPr="00E1248B">
              <w:rPr>
                <w:rFonts w:ascii="Calibri" w:hAnsi="Calibri" w:cs="Calibri"/>
              </w:rPr>
              <w:t>37,409</w:t>
            </w:r>
          </w:p>
        </w:tc>
        <w:tc>
          <w:tcPr>
            <w:tcW w:w="0" w:type="auto"/>
            <w:hideMark/>
          </w:tcPr>
          <w:p w14:paraId="44198209" w14:textId="77777777" w:rsidR="00860624" w:rsidRPr="00E1248B" w:rsidRDefault="00860624" w:rsidP="00DD5881">
            <w:pPr>
              <w:spacing w:line="360" w:lineRule="auto"/>
              <w:rPr>
                <w:rFonts w:ascii="Calibri" w:hAnsi="Calibri" w:cs="Calibri"/>
              </w:rPr>
            </w:pPr>
            <w:r w:rsidRPr="00E1248B">
              <w:rPr>
                <w:rFonts w:ascii="Calibri" w:hAnsi="Calibri" w:cs="Calibri"/>
              </w:rPr>
              <w:t>100.0</w:t>
            </w:r>
          </w:p>
        </w:tc>
      </w:tr>
      <w:tr w:rsidR="00860624" w:rsidRPr="00E1248B" w14:paraId="64CADBA6" w14:textId="77777777" w:rsidTr="00D4731D">
        <w:trPr>
          <w:trHeight w:val="423"/>
          <w:jc w:val="center"/>
        </w:trPr>
        <w:tc>
          <w:tcPr>
            <w:tcW w:w="0" w:type="auto"/>
            <w:hideMark/>
          </w:tcPr>
          <w:p w14:paraId="5690140C" w14:textId="77777777" w:rsidR="00860624" w:rsidRPr="00E1248B" w:rsidRDefault="00860624" w:rsidP="00DD5881">
            <w:pPr>
              <w:spacing w:line="360" w:lineRule="auto"/>
              <w:rPr>
                <w:rFonts w:ascii="Calibri" w:hAnsi="Calibri" w:cs="Calibri"/>
              </w:rPr>
            </w:pPr>
            <w:r w:rsidRPr="00E1248B">
              <w:rPr>
                <w:rFonts w:ascii="Calibri" w:hAnsi="Calibri" w:cs="Calibri"/>
                <w:b/>
                <w:bCs/>
              </w:rPr>
              <w:t>Age group</w:t>
            </w:r>
          </w:p>
        </w:tc>
        <w:tc>
          <w:tcPr>
            <w:tcW w:w="0" w:type="auto"/>
            <w:hideMark/>
          </w:tcPr>
          <w:p w14:paraId="705E046C" w14:textId="77777777" w:rsidR="00860624" w:rsidRPr="00E1248B" w:rsidRDefault="00860624" w:rsidP="00DD5881">
            <w:pPr>
              <w:spacing w:line="360" w:lineRule="auto"/>
              <w:rPr>
                <w:rFonts w:ascii="Calibri" w:hAnsi="Calibri" w:cs="Calibri"/>
              </w:rPr>
            </w:pPr>
          </w:p>
        </w:tc>
        <w:tc>
          <w:tcPr>
            <w:tcW w:w="0" w:type="auto"/>
            <w:hideMark/>
          </w:tcPr>
          <w:p w14:paraId="61DC8AEF" w14:textId="77777777" w:rsidR="00860624" w:rsidRPr="00E1248B" w:rsidRDefault="00860624" w:rsidP="00DD5881">
            <w:pPr>
              <w:spacing w:line="360" w:lineRule="auto"/>
              <w:rPr>
                <w:rFonts w:ascii="Calibri" w:hAnsi="Calibri" w:cs="Calibri"/>
              </w:rPr>
            </w:pPr>
          </w:p>
        </w:tc>
      </w:tr>
      <w:tr w:rsidR="00860624" w:rsidRPr="00E1248B" w14:paraId="0A260D4A" w14:textId="77777777" w:rsidTr="00D4731D">
        <w:trPr>
          <w:trHeight w:val="438"/>
          <w:jc w:val="center"/>
        </w:trPr>
        <w:tc>
          <w:tcPr>
            <w:tcW w:w="0" w:type="auto"/>
            <w:hideMark/>
          </w:tcPr>
          <w:p w14:paraId="55594D90" w14:textId="77777777" w:rsidR="00860624" w:rsidRPr="00E1248B" w:rsidRDefault="00860624" w:rsidP="00DD5881">
            <w:pPr>
              <w:spacing w:line="360" w:lineRule="auto"/>
              <w:rPr>
                <w:rFonts w:ascii="Calibri" w:hAnsi="Calibri" w:cs="Calibri"/>
              </w:rPr>
            </w:pPr>
            <w:r w:rsidRPr="00E1248B">
              <w:rPr>
                <w:rFonts w:ascii="Calibri" w:hAnsi="Calibri" w:cs="Calibri"/>
              </w:rPr>
              <w:t>15–34 years</w:t>
            </w:r>
          </w:p>
        </w:tc>
        <w:tc>
          <w:tcPr>
            <w:tcW w:w="0" w:type="auto"/>
            <w:hideMark/>
          </w:tcPr>
          <w:p w14:paraId="5E017A7B" w14:textId="77777777" w:rsidR="00860624" w:rsidRPr="00E1248B" w:rsidRDefault="00860624" w:rsidP="00DD5881">
            <w:pPr>
              <w:spacing w:line="360" w:lineRule="auto"/>
              <w:rPr>
                <w:rFonts w:ascii="Calibri" w:hAnsi="Calibri" w:cs="Calibri"/>
              </w:rPr>
            </w:pPr>
            <w:r w:rsidRPr="00E1248B">
              <w:rPr>
                <w:rFonts w:ascii="Calibri" w:hAnsi="Calibri" w:cs="Calibri"/>
              </w:rPr>
              <w:t>17,395</w:t>
            </w:r>
          </w:p>
        </w:tc>
        <w:tc>
          <w:tcPr>
            <w:tcW w:w="0" w:type="auto"/>
            <w:hideMark/>
          </w:tcPr>
          <w:p w14:paraId="79C4B378" w14:textId="77777777" w:rsidR="00860624" w:rsidRPr="00E1248B" w:rsidRDefault="00860624" w:rsidP="00DD5881">
            <w:pPr>
              <w:spacing w:line="360" w:lineRule="auto"/>
              <w:rPr>
                <w:rFonts w:ascii="Calibri" w:hAnsi="Calibri" w:cs="Calibri"/>
              </w:rPr>
            </w:pPr>
            <w:r w:rsidRPr="00E1248B">
              <w:rPr>
                <w:rFonts w:ascii="Calibri" w:hAnsi="Calibri" w:cs="Calibri"/>
              </w:rPr>
              <w:t>44.36</w:t>
            </w:r>
          </w:p>
        </w:tc>
      </w:tr>
      <w:tr w:rsidR="00860624" w:rsidRPr="00E1248B" w14:paraId="374482D9" w14:textId="77777777" w:rsidTr="00D4731D">
        <w:trPr>
          <w:trHeight w:val="423"/>
          <w:jc w:val="center"/>
        </w:trPr>
        <w:tc>
          <w:tcPr>
            <w:tcW w:w="0" w:type="auto"/>
            <w:hideMark/>
          </w:tcPr>
          <w:p w14:paraId="70D88BBF" w14:textId="77777777" w:rsidR="00860624" w:rsidRPr="00E1248B" w:rsidRDefault="00860624" w:rsidP="00DD5881">
            <w:pPr>
              <w:spacing w:line="360" w:lineRule="auto"/>
              <w:rPr>
                <w:rFonts w:ascii="Calibri" w:hAnsi="Calibri" w:cs="Calibri"/>
              </w:rPr>
            </w:pPr>
            <w:r w:rsidRPr="00E1248B">
              <w:rPr>
                <w:rFonts w:ascii="Calibri" w:hAnsi="Calibri" w:cs="Calibri"/>
              </w:rPr>
              <w:t>35–49 years</w:t>
            </w:r>
          </w:p>
        </w:tc>
        <w:tc>
          <w:tcPr>
            <w:tcW w:w="0" w:type="auto"/>
            <w:hideMark/>
          </w:tcPr>
          <w:p w14:paraId="3E76239C" w14:textId="77777777" w:rsidR="00860624" w:rsidRPr="00E1248B" w:rsidRDefault="00860624" w:rsidP="00DD5881">
            <w:pPr>
              <w:spacing w:line="360" w:lineRule="auto"/>
              <w:rPr>
                <w:rFonts w:ascii="Calibri" w:hAnsi="Calibri" w:cs="Calibri"/>
              </w:rPr>
            </w:pPr>
            <w:r w:rsidRPr="00E1248B">
              <w:rPr>
                <w:rFonts w:ascii="Calibri" w:hAnsi="Calibri" w:cs="Calibri"/>
              </w:rPr>
              <w:t>19,536</w:t>
            </w:r>
          </w:p>
        </w:tc>
        <w:tc>
          <w:tcPr>
            <w:tcW w:w="0" w:type="auto"/>
            <w:hideMark/>
          </w:tcPr>
          <w:p w14:paraId="5540F003" w14:textId="77777777" w:rsidR="00860624" w:rsidRPr="00E1248B" w:rsidRDefault="00860624" w:rsidP="00DD5881">
            <w:pPr>
              <w:spacing w:line="360" w:lineRule="auto"/>
              <w:rPr>
                <w:rFonts w:ascii="Calibri" w:hAnsi="Calibri" w:cs="Calibri"/>
              </w:rPr>
            </w:pPr>
            <w:r w:rsidRPr="00E1248B">
              <w:rPr>
                <w:rFonts w:ascii="Calibri" w:hAnsi="Calibri" w:cs="Calibri"/>
              </w:rPr>
              <w:t>49.82</w:t>
            </w:r>
          </w:p>
        </w:tc>
      </w:tr>
      <w:tr w:rsidR="00860624" w:rsidRPr="00E1248B" w14:paraId="3DE48527" w14:textId="77777777" w:rsidTr="00D4731D">
        <w:trPr>
          <w:trHeight w:val="438"/>
          <w:jc w:val="center"/>
        </w:trPr>
        <w:tc>
          <w:tcPr>
            <w:tcW w:w="0" w:type="auto"/>
            <w:hideMark/>
          </w:tcPr>
          <w:p w14:paraId="5A5C9DEA" w14:textId="77777777" w:rsidR="00860624" w:rsidRPr="00E1248B" w:rsidRDefault="00860624" w:rsidP="00DD5881">
            <w:pPr>
              <w:spacing w:line="360" w:lineRule="auto"/>
              <w:rPr>
                <w:rFonts w:ascii="Calibri" w:hAnsi="Calibri" w:cs="Calibri"/>
              </w:rPr>
            </w:pPr>
            <w:r w:rsidRPr="00E1248B">
              <w:rPr>
                <w:rFonts w:ascii="Calibri" w:hAnsi="Calibri" w:cs="Calibri"/>
              </w:rPr>
              <w:t>50–64 years</w:t>
            </w:r>
          </w:p>
        </w:tc>
        <w:tc>
          <w:tcPr>
            <w:tcW w:w="0" w:type="auto"/>
            <w:hideMark/>
          </w:tcPr>
          <w:p w14:paraId="2E23071B" w14:textId="77777777" w:rsidR="00860624" w:rsidRPr="00E1248B" w:rsidRDefault="00860624" w:rsidP="00DD5881">
            <w:pPr>
              <w:spacing w:line="360" w:lineRule="auto"/>
              <w:rPr>
                <w:rFonts w:ascii="Calibri" w:hAnsi="Calibri" w:cs="Calibri"/>
              </w:rPr>
            </w:pPr>
            <w:r w:rsidRPr="00E1248B">
              <w:rPr>
                <w:rFonts w:ascii="Calibri" w:hAnsi="Calibri" w:cs="Calibri"/>
              </w:rPr>
              <w:t>2,285</w:t>
            </w:r>
          </w:p>
        </w:tc>
        <w:tc>
          <w:tcPr>
            <w:tcW w:w="0" w:type="auto"/>
            <w:hideMark/>
          </w:tcPr>
          <w:p w14:paraId="10D45C45" w14:textId="77777777" w:rsidR="00860624" w:rsidRPr="00E1248B" w:rsidRDefault="00860624" w:rsidP="00DD5881">
            <w:pPr>
              <w:spacing w:line="360" w:lineRule="auto"/>
              <w:rPr>
                <w:rFonts w:ascii="Calibri" w:hAnsi="Calibri" w:cs="Calibri"/>
              </w:rPr>
            </w:pPr>
            <w:r w:rsidRPr="00E1248B">
              <w:rPr>
                <w:rFonts w:ascii="Calibri" w:hAnsi="Calibri" w:cs="Calibri"/>
              </w:rPr>
              <w:t>5.83</w:t>
            </w:r>
          </w:p>
        </w:tc>
      </w:tr>
      <w:tr w:rsidR="00860624" w:rsidRPr="00E1248B" w14:paraId="3EEF2723" w14:textId="77777777" w:rsidTr="00D4731D">
        <w:trPr>
          <w:trHeight w:val="423"/>
          <w:jc w:val="center"/>
        </w:trPr>
        <w:tc>
          <w:tcPr>
            <w:tcW w:w="0" w:type="auto"/>
            <w:hideMark/>
          </w:tcPr>
          <w:p w14:paraId="02D50AF4" w14:textId="77777777" w:rsidR="00860624" w:rsidRPr="00E1248B" w:rsidRDefault="00860624" w:rsidP="00DD5881">
            <w:pPr>
              <w:spacing w:line="360" w:lineRule="auto"/>
              <w:rPr>
                <w:rFonts w:ascii="Calibri" w:hAnsi="Calibri" w:cs="Calibri"/>
              </w:rPr>
            </w:pPr>
            <w:r w:rsidRPr="00E1248B">
              <w:rPr>
                <w:rFonts w:ascii="Calibri" w:hAnsi="Calibri" w:cs="Calibri"/>
                <w:b/>
                <w:bCs/>
              </w:rPr>
              <w:t>Sex</w:t>
            </w:r>
          </w:p>
        </w:tc>
        <w:tc>
          <w:tcPr>
            <w:tcW w:w="0" w:type="auto"/>
            <w:hideMark/>
          </w:tcPr>
          <w:p w14:paraId="4211E7B1" w14:textId="77777777" w:rsidR="00860624" w:rsidRPr="00E1248B" w:rsidRDefault="00860624" w:rsidP="00DD5881">
            <w:pPr>
              <w:spacing w:line="360" w:lineRule="auto"/>
              <w:rPr>
                <w:rFonts w:ascii="Calibri" w:hAnsi="Calibri" w:cs="Calibri"/>
              </w:rPr>
            </w:pPr>
          </w:p>
        </w:tc>
        <w:tc>
          <w:tcPr>
            <w:tcW w:w="0" w:type="auto"/>
            <w:hideMark/>
          </w:tcPr>
          <w:p w14:paraId="43F23BDB" w14:textId="77777777" w:rsidR="00860624" w:rsidRPr="00E1248B" w:rsidRDefault="00860624" w:rsidP="00DD5881">
            <w:pPr>
              <w:spacing w:line="360" w:lineRule="auto"/>
              <w:rPr>
                <w:rFonts w:ascii="Calibri" w:hAnsi="Calibri" w:cs="Calibri"/>
              </w:rPr>
            </w:pPr>
          </w:p>
        </w:tc>
      </w:tr>
      <w:tr w:rsidR="00860624" w:rsidRPr="00E1248B" w14:paraId="2BB9CA93" w14:textId="77777777" w:rsidTr="00D4731D">
        <w:trPr>
          <w:trHeight w:val="438"/>
          <w:jc w:val="center"/>
        </w:trPr>
        <w:tc>
          <w:tcPr>
            <w:tcW w:w="0" w:type="auto"/>
            <w:hideMark/>
          </w:tcPr>
          <w:p w14:paraId="77BD36BD" w14:textId="77777777" w:rsidR="00860624" w:rsidRPr="00E1248B" w:rsidRDefault="00860624" w:rsidP="00DD5881">
            <w:pPr>
              <w:spacing w:line="360" w:lineRule="auto"/>
              <w:rPr>
                <w:rFonts w:ascii="Calibri" w:hAnsi="Calibri" w:cs="Calibri"/>
              </w:rPr>
            </w:pPr>
            <w:r w:rsidRPr="00E1248B">
              <w:rPr>
                <w:rFonts w:ascii="Calibri" w:hAnsi="Calibri" w:cs="Calibri"/>
              </w:rPr>
              <w:t>Female</w:t>
            </w:r>
          </w:p>
        </w:tc>
        <w:tc>
          <w:tcPr>
            <w:tcW w:w="0" w:type="auto"/>
            <w:hideMark/>
          </w:tcPr>
          <w:p w14:paraId="30E9E660" w14:textId="77777777" w:rsidR="00860624" w:rsidRPr="00E1248B" w:rsidRDefault="00860624" w:rsidP="00DD5881">
            <w:pPr>
              <w:spacing w:line="360" w:lineRule="auto"/>
              <w:rPr>
                <w:rFonts w:ascii="Calibri" w:hAnsi="Calibri" w:cs="Calibri"/>
              </w:rPr>
            </w:pPr>
            <w:r w:rsidRPr="00E1248B">
              <w:rPr>
                <w:rFonts w:ascii="Calibri" w:hAnsi="Calibri" w:cs="Calibri"/>
              </w:rPr>
              <w:t>11,855</w:t>
            </w:r>
          </w:p>
        </w:tc>
        <w:tc>
          <w:tcPr>
            <w:tcW w:w="0" w:type="auto"/>
            <w:hideMark/>
          </w:tcPr>
          <w:p w14:paraId="1837B224" w14:textId="77777777" w:rsidR="00860624" w:rsidRPr="00E1248B" w:rsidRDefault="00860624" w:rsidP="00DD5881">
            <w:pPr>
              <w:spacing w:line="360" w:lineRule="auto"/>
              <w:rPr>
                <w:rFonts w:ascii="Calibri" w:hAnsi="Calibri" w:cs="Calibri"/>
              </w:rPr>
            </w:pPr>
            <w:r w:rsidRPr="00E1248B">
              <w:rPr>
                <w:rFonts w:ascii="Calibri" w:hAnsi="Calibri" w:cs="Calibri"/>
              </w:rPr>
              <w:t>31.69</w:t>
            </w:r>
          </w:p>
        </w:tc>
      </w:tr>
      <w:tr w:rsidR="00860624" w:rsidRPr="00E1248B" w14:paraId="3E3D4B1C" w14:textId="77777777" w:rsidTr="00D4731D">
        <w:trPr>
          <w:trHeight w:val="423"/>
          <w:jc w:val="center"/>
        </w:trPr>
        <w:tc>
          <w:tcPr>
            <w:tcW w:w="0" w:type="auto"/>
            <w:hideMark/>
          </w:tcPr>
          <w:p w14:paraId="119D256C" w14:textId="77777777" w:rsidR="00860624" w:rsidRPr="00E1248B" w:rsidRDefault="00860624" w:rsidP="00DD5881">
            <w:pPr>
              <w:spacing w:line="360" w:lineRule="auto"/>
              <w:rPr>
                <w:rFonts w:ascii="Calibri" w:hAnsi="Calibri" w:cs="Calibri"/>
              </w:rPr>
            </w:pPr>
            <w:r w:rsidRPr="00E1248B">
              <w:rPr>
                <w:rFonts w:ascii="Calibri" w:hAnsi="Calibri" w:cs="Calibri"/>
              </w:rPr>
              <w:t>Male</w:t>
            </w:r>
          </w:p>
        </w:tc>
        <w:tc>
          <w:tcPr>
            <w:tcW w:w="0" w:type="auto"/>
            <w:hideMark/>
          </w:tcPr>
          <w:p w14:paraId="54B166AB" w14:textId="77777777" w:rsidR="00860624" w:rsidRPr="00E1248B" w:rsidRDefault="00860624" w:rsidP="00DD5881">
            <w:pPr>
              <w:spacing w:line="360" w:lineRule="auto"/>
              <w:rPr>
                <w:rFonts w:ascii="Calibri" w:hAnsi="Calibri" w:cs="Calibri"/>
              </w:rPr>
            </w:pPr>
            <w:r w:rsidRPr="00E1248B">
              <w:rPr>
                <w:rFonts w:ascii="Calibri" w:hAnsi="Calibri" w:cs="Calibri"/>
              </w:rPr>
              <w:t>25,554</w:t>
            </w:r>
          </w:p>
        </w:tc>
        <w:tc>
          <w:tcPr>
            <w:tcW w:w="0" w:type="auto"/>
            <w:hideMark/>
          </w:tcPr>
          <w:p w14:paraId="34BC7E12" w14:textId="77777777" w:rsidR="00860624" w:rsidRPr="00E1248B" w:rsidRDefault="00860624" w:rsidP="00DD5881">
            <w:pPr>
              <w:spacing w:line="360" w:lineRule="auto"/>
              <w:rPr>
                <w:rFonts w:ascii="Calibri" w:hAnsi="Calibri" w:cs="Calibri"/>
              </w:rPr>
            </w:pPr>
            <w:r w:rsidRPr="00E1248B">
              <w:rPr>
                <w:rFonts w:ascii="Calibri" w:hAnsi="Calibri" w:cs="Calibri"/>
              </w:rPr>
              <w:t>68.31</w:t>
            </w:r>
          </w:p>
        </w:tc>
      </w:tr>
      <w:tr w:rsidR="00860624" w:rsidRPr="00E1248B" w14:paraId="2E37FC19" w14:textId="77777777" w:rsidTr="00D4731D">
        <w:trPr>
          <w:trHeight w:val="438"/>
          <w:jc w:val="center"/>
        </w:trPr>
        <w:tc>
          <w:tcPr>
            <w:tcW w:w="0" w:type="auto"/>
            <w:hideMark/>
          </w:tcPr>
          <w:p w14:paraId="50775174" w14:textId="6B144E69" w:rsidR="00860624" w:rsidRPr="00E1248B" w:rsidRDefault="00860624" w:rsidP="00DD5881">
            <w:pPr>
              <w:spacing w:line="360" w:lineRule="auto"/>
              <w:rPr>
                <w:rFonts w:ascii="Calibri" w:hAnsi="Calibri" w:cs="Calibri"/>
              </w:rPr>
            </w:pPr>
            <w:r w:rsidRPr="00E1248B">
              <w:rPr>
                <w:rFonts w:ascii="Calibri" w:hAnsi="Calibri" w:cs="Calibri"/>
                <w:b/>
                <w:bCs/>
              </w:rPr>
              <w:t xml:space="preserve">Drug </w:t>
            </w:r>
            <w:r w:rsidR="00B16480" w:rsidRPr="00B16480">
              <w:rPr>
                <w:rFonts w:ascii="Calibri" w:hAnsi="Calibri" w:cs="Calibri"/>
                <w:b/>
                <w:bCs/>
              </w:rPr>
              <w:t>dependence</w:t>
            </w:r>
          </w:p>
        </w:tc>
        <w:tc>
          <w:tcPr>
            <w:tcW w:w="0" w:type="auto"/>
            <w:hideMark/>
          </w:tcPr>
          <w:p w14:paraId="0C7CB8A5" w14:textId="77777777" w:rsidR="00860624" w:rsidRPr="00E1248B" w:rsidRDefault="00860624" w:rsidP="00DD5881">
            <w:pPr>
              <w:spacing w:line="360" w:lineRule="auto"/>
              <w:rPr>
                <w:rFonts w:ascii="Calibri" w:hAnsi="Calibri" w:cs="Calibri"/>
              </w:rPr>
            </w:pPr>
          </w:p>
        </w:tc>
        <w:tc>
          <w:tcPr>
            <w:tcW w:w="0" w:type="auto"/>
            <w:hideMark/>
          </w:tcPr>
          <w:p w14:paraId="27C43BD4" w14:textId="77777777" w:rsidR="00860624" w:rsidRPr="00E1248B" w:rsidRDefault="00860624" w:rsidP="00DD5881">
            <w:pPr>
              <w:spacing w:line="360" w:lineRule="auto"/>
              <w:rPr>
                <w:rFonts w:ascii="Calibri" w:hAnsi="Calibri" w:cs="Calibri"/>
              </w:rPr>
            </w:pPr>
          </w:p>
        </w:tc>
      </w:tr>
      <w:tr w:rsidR="00860624" w:rsidRPr="00E1248B" w14:paraId="77A35909" w14:textId="77777777" w:rsidTr="00D4731D">
        <w:trPr>
          <w:trHeight w:val="423"/>
          <w:jc w:val="center"/>
        </w:trPr>
        <w:tc>
          <w:tcPr>
            <w:tcW w:w="0" w:type="auto"/>
            <w:hideMark/>
          </w:tcPr>
          <w:p w14:paraId="34CF1AE2" w14:textId="77777777" w:rsidR="00860624" w:rsidRPr="00E1248B" w:rsidRDefault="00860624" w:rsidP="00DD5881">
            <w:pPr>
              <w:spacing w:line="360" w:lineRule="auto"/>
              <w:rPr>
                <w:rFonts w:ascii="Calibri" w:hAnsi="Calibri" w:cs="Calibri"/>
              </w:rPr>
            </w:pPr>
            <w:r w:rsidRPr="00E1248B">
              <w:rPr>
                <w:rFonts w:ascii="Calibri" w:hAnsi="Calibri" w:cs="Calibri"/>
              </w:rPr>
              <w:t>Opioid only</w:t>
            </w:r>
          </w:p>
        </w:tc>
        <w:tc>
          <w:tcPr>
            <w:tcW w:w="0" w:type="auto"/>
            <w:hideMark/>
          </w:tcPr>
          <w:p w14:paraId="084714BD" w14:textId="77777777" w:rsidR="00860624" w:rsidRPr="00E1248B" w:rsidRDefault="00860624" w:rsidP="00DD5881">
            <w:pPr>
              <w:spacing w:line="360" w:lineRule="auto"/>
              <w:rPr>
                <w:rFonts w:ascii="Calibri" w:hAnsi="Calibri" w:cs="Calibri"/>
              </w:rPr>
            </w:pPr>
            <w:r w:rsidRPr="00E1248B">
              <w:rPr>
                <w:rFonts w:ascii="Calibri" w:hAnsi="Calibri" w:cs="Calibri"/>
              </w:rPr>
              <w:t>29,335</w:t>
            </w:r>
          </w:p>
        </w:tc>
        <w:tc>
          <w:tcPr>
            <w:tcW w:w="0" w:type="auto"/>
            <w:hideMark/>
          </w:tcPr>
          <w:p w14:paraId="29F358D3" w14:textId="77777777" w:rsidR="00860624" w:rsidRPr="00E1248B" w:rsidRDefault="00860624" w:rsidP="00DD5881">
            <w:pPr>
              <w:spacing w:line="360" w:lineRule="auto"/>
              <w:rPr>
                <w:rFonts w:ascii="Calibri" w:hAnsi="Calibri" w:cs="Calibri"/>
              </w:rPr>
            </w:pPr>
            <w:r w:rsidRPr="00E1248B">
              <w:rPr>
                <w:rFonts w:ascii="Calibri" w:hAnsi="Calibri" w:cs="Calibri"/>
              </w:rPr>
              <w:t>78.42</w:t>
            </w:r>
          </w:p>
        </w:tc>
      </w:tr>
      <w:tr w:rsidR="00860624" w:rsidRPr="00E1248B" w14:paraId="0164EEF7" w14:textId="77777777" w:rsidTr="00D4731D">
        <w:trPr>
          <w:trHeight w:val="438"/>
          <w:jc w:val="center"/>
        </w:trPr>
        <w:tc>
          <w:tcPr>
            <w:tcW w:w="0" w:type="auto"/>
            <w:hideMark/>
          </w:tcPr>
          <w:p w14:paraId="509BABEC" w14:textId="77777777" w:rsidR="00860624" w:rsidRPr="00E1248B" w:rsidRDefault="00860624" w:rsidP="00DD5881">
            <w:pPr>
              <w:spacing w:line="360" w:lineRule="auto"/>
              <w:rPr>
                <w:rFonts w:ascii="Calibri" w:hAnsi="Calibri" w:cs="Calibri"/>
              </w:rPr>
            </w:pPr>
            <w:r w:rsidRPr="00E1248B">
              <w:rPr>
                <w:rFonts w:ascii="Calibri" w:hAnsi="Calibri" w:cs="Calibri"/>
              </w:rPr>
              <w:t>Opioid + Cocaine</w:t>
            </w:r>
          </w:p>
        </w:tc>
        <w:tc>
          <w:tcPr>
            <w:tcW w:w="0" w:type="auto"/>
            <w:hideMark/>
          </w:tcPr>
          <w:p w14:paraId="7F1F6E19" w14:textId="77777777" w:rsidR="00860624" w:rsidRPr="00E1248B" w:rsidRDefault="00860624" w:rsidP="00DD5881">
            <w:pPr>
              <w:spacing w:line="360" w:lineRule="auto"/>
              <w:rPr>
                <w:rFonts w:ascii="Calibri" w:hAnsi="Calibri" w:cs="Calibri"/>
              </w:rPr>
            </w:pPr>
            <w:r w:rsidRPr="00E1248B">
              <w:rPr>
                <w:rFonts w:ascii="Calibri" w:hAnsi="Calibri" w:cs="Calibri"/>
              </w:rPr>
              <w:t>8,074</w:t>
            </w:r>
          </w:p>
        </w:tc>
        <w:tc>
          <w:tcPr>
            <w:tcW w:w="0" w:type="auto"/>
            <w:hideMark/>
          </w:tcPr>
          <w:p w14:paraId="73CFAE77" w14:textId="77777777" w:rsidR="00860624" w:rsidRPr="00E1248B" w:rsidRDefault="00860624" w:rsidP="00DD5881">
            <w:pPr>
              <w:spacing w:line="360" w:lineRule="auto"/>
              <w:rPr>
                <w:rFonts w:ascii="Calibri" w:hAnsi="Calibri" w:cs="Calibri"/>
              </w:rPr>
            </w:pPr>
            <w:r w:rsidRPr="00E1248B">
              <w:rPr>
                <w:rFonts w:ascii="Calibri" w:hAnsi="Calibri" w:cs="Calibri"/>
              </w:rPr>
              <w:t>21.58</w:t>
            </w:r>
          </w:p>
        </w:tc>
      </w:tr>
      <w:tr w:rsidR="00C5710F" w:rsidRPr="00E1248B" w14:paraId="27122974" w14:textId="77777777" w:rsidTr="00D4731D">
        <w:trPr>
          <w:trHeight w:val="423"/>
          <w:jc w:val="center"/>
        </w:trPr>
        <w:tc>
          <w:tcPr>
            <w:tcW w:w="0" w:type="auto"/>
          </w:tcPr>
          <w:p w14:paraId="18302438" w14:textId="37623DDF" w:rsidR="00C5710F" w:rsidRPr="00E1248B" w:rsidRDefault="00C5710F" w:rsidP="00DD5881">
            <w:pPr>
              <w:spacing w:line="360" w:lineRule="auto"/>
              <w:rPr>
                <w:rFonts w:ascii="Calibri" w:hAnsi="Calibri" w:cs="Calibri"/>
              </w:rPr>
            </w:pPr>
            <w:bookmarkStart w:id="3" w:name="_Hlk205848692"/>
            <w:r w:rsidRPr="00E1248B">
              <w:rPr>
                <w:rFonts w:ascii="Calibri" w:hAnsi="Calibri" w:cs="Calibri"/>
                <w:b/>
                <w:bCs/>
              </w:rPr>
              <w:t>Accommodation</w:t>
            </w:r>
          </w:p>
        </w:tc>
        <w:tc>
          <w:tcPr>
            <w:tcW w:w="0" w:type="auto"/>
          </w:tcPr>
          <w:p w14:paraId="09EA2B73" w14:textId="4F71B897" w:rsidR="00C5710F" w:rsidRPr="00E1248B" w:rsidRDefault="00C5710F" w:rsidP="00DD5881">
            <w:pPr>
              <w:spacing w:line="360" w:lineRule="auto"/>
              <w:rPr>
                <w:rFonts w:ascii="Calibri" w:hAnsi="Calibri" w:cs="Calibri"/>
              </w:rPr>
            </w:pPr>
          </w:p>
        </w:tc>
        <w:tc>
          <w:tcPr>
            <w:tcW w:w="0" w:type="auto"/>
          </w:tcPr>
          <w:p w14:paraId="7791951B" w14:textId="35747322" w:rsidR="00C5710F" w:rsidRPr="00E1248B" w:rsidRDefault="00C5710F" w:rsidP="00DD5881">
            <w:pPr>
              <w:spacing w:line="360" w:lineRule="auto"/>
              <w:rPr>
                <w:rFonts w:ascii="Calibri" w:hAnsi="Calibri" w:cs="Calibri"/>
              </w:rPr>
            </w:pPr>
          </w:p>
        </w:tc>
      </w:tr>
      <w:tr w:rsidR="00C5710F" w:rsidRPr="00E1248B" w14:paraId="46F57539" w14:textId="77777777" w:rsidTr="00D4731D">
        <w:trPr>
          <w:trHeight w:val="423"/>
          <w:jc w:val="center"/>
        </w:trPr>
        <w:tc>
          <w:tcPr>
            <w:tcW w:w="0" w:type="auto"/>
          </w:tcPr>
          <w:p w14:paraId="7ECD13F0" w14:textId="4EEC5460" w:rsidR="00C5710F" w:rsidRPr="00E1248B" w:rsidRDefault="00C5710F" w:rsidP="00DD5881">
            <w:pPr>
              <w:spacing w:line="360" w:lineRule="auto"/>
              <w:rPr>
                <w:rFonts w:ascii="Calibri" w:hAnsi="Calibri" w:cs="Calibri"/>
              </w:rPr>
            </w:pPr>
            <w:r w:rsidRPr="00E1248B">
              <w:rPr>
                <w:rFonts w:ascii="Calibri" w:hAnsi="Calibri" w:cs="Calibri"/>
              </w:rPr>
              <w:t>Owned/Rented</w:t>
            </w:r>
          </w:p>
        </w:tc>
        <w:tc>
          <w:tcPr>
            <w:tcW w:w="0" w:type="auto"/>
          </w:tcPr>
          <w:p w14:paraId="1C82E55C" w14:textId="5B6DC1D6" w:rsidR="00C5710F" w:rsidRPr="00E1248B" w:rsidRDefault="00C5710F" w:rsidP="00DD5881">
            <w:pPr>
              <w:spacing w:line="360" w:lineRule="auto"/>
              <w:rPr>
                <w:rFonts w:ascii="Calibri" w:hAnsi="Calibri" w:cs="Calibri"/>
              </w:rPr>
            </w:pPr>
            <w:r w:rsidRPr="00E1248B">
              <w:rPr>
                <w:rFonts w:ascii="Calibri" w:hAnsi="Calibri" w:cs="Calibri"/>
              </w:rPr>
              <w:t>27,253</w:t>
            </w:r>
          </w:p>
        </w:tc>
        <w:tc>
          <w:tcPr>
            <w:tcW w:w="0" w:type="auto"/>
          </w:tcPr>
          <w:p w14:paraId="64A5C7F9" w14:textId="1CB21C37" w:rsidR="00C5710F" w:rsidRPr="00E1248B" w:rsidRDefault="00C5710F" w:rsidP="00DD5881">
            <w:pPr>
              <w:spacing w:line="360" w:lineRule="auto"/>
              <w:rPr>
                <w:rFonts w:ascii="Calibri" w:hAnsi="Calibri" w:cs="Calibri"/>
              </w:rPr>
            </w:pPr>
            <w:r w:rsidRPr="00E1248B">
              <w:rPr>
                <w:rFonts w:ascii="Calibri" w:hAnsi="Calibri" w:cs="Calibri"/>
              </w:rPr>
              <w:t>72.85</w:t>
            </w:r>
          </w:p>
        </w:tc>
      </w:tr>
      <w:tr w:rsidR="00C5710F" w:rsidRPr="00E1248B" w14:paraId="39C9CE60" w14:textId="77777777" w:rsidTr="00D4731D">
        <w:trPr>
          <w:trHeight w:val="423"/>
          <w:jc w:val="center"/>
        </w:trPr>
        <w:tc>
          <w:tcPr>
            <w:tcW w:w="0" w:type="auto"/>
          </w:tcPr>
          <w:p w14:paraId="519ED669" w14:textId="77F12BEA" w:rsidR="00C5710F" w:rsidRPr="00E1248B" w:rsidRDefault="00C5710F" w:rsidP="00DD5881">
            <w:pPr>
              <w:spacing w:line="360" w:lineRule="auto"/>
              <w:rPr>
                <w:rFonts w:ascii="Calibri" w:hAnsi="Calibri" w:cs="Calibri"/>
              </w:rPr>
            </w:pPr>
            <w:r w:rsidRPr="00E1248B">
              <w:rPr>
                <w:rFonts w:ascii="Calibri" w:hAnsi="Calibri" w:cs="Calibri"/>
              </w:rPr>
              <w:t>Homeless</w:t>
            </w:r>
          </w:p>
        </w:tc>
        <w:tc>
          <w:tcPr>
            <w:tcW w:w="0" w:type="auto"/>
          </w:tcPr>
          <w:p w14:paraId="559457A7" w14:textId="7A2EAA36" w:rsidR="00C5710F" w:rsidRPr="00E1248B" w:rsidRDefault="00C5710F" w:rsidP="00DD5881">
            <w:pPr>
              <w:spacing w:line="360" w:lineRule="auto"/>
              <w:rPr>
                <w:rFonts w:ascii="Calibri" w:hAnsi="Calibri" w:cs="Calibri"/>
              </w:rPr>
            </w:pPr>
            <w:r w:rsidRPr="00E1248B">
              <w:rPr>
                <w:rFonts w:ascii="Calibri" w:hAnsi="Calibri" w:cs="Calibri"/>
              </w:rPr>
              <w:t>3,394</w:t>
            </w:r>
          </w:p>
        </w:tc>
        <w:tc>
          <w:tcPr>
            <w:tcW w:w="0" w:type="auto"/>
          </w:tcPr>
          <w:p w14:paraId="36F395E2" w14:textId="6B44E3B5" w:rsidR="00C5710F" w:rsidRPr="00E1248B" w:rsidRDefault="00C5710F" w:rsidP="00DD5881">
            <w:pPr>
              <w:spacing w:line="360" w:lineRule="auto"/>
              <w:rPr>
                <w:rFonts w:ascii="Calibri" w:hAnsi="Calibri" w:cs="Calibri"/>
              </w:rPr>
            </w:pPr>
            <w:r w:rsidRPr="00E1248B">
              <w:rPr>
                <w:rFonts w:ascii="Calibri" w:hAnsi="Calibri" w:cs="Calibri"/>
              </w:rPr>
              <w:t>9.07</w:t>
            </w:r>
          </w:p>
        </w:tc>
      </w:tr>
      <w:tr w:rsidR="00C5710F" w:rsidRPr="00E1248B" w14:paraId="0C70C36D" w14:textId="77777777" w:rsidTr="00D4731D">
        <w:trPr>
          <w:trHeight w:val="438"/>
          <w:jc w:val="center"/>
        </w:trPr>
        <w:tc>
          <w:tcPr>
            <w:tcW w:w="0" w:type="auto"/>
          </w:tcPr>
          <w:p w14:paraId="0DFF1976" w14:textId="4CE08DF7" w:rsidR="00C5710F" w:rsidRPr="00E1248B" w:rsidRDefault="00C5710F" w:rsidP="00DD5881">
            <w:pPr>
              <w:spacing w:line="360" w:lineRule="auto"/>
              <w:rPr>
                <w:rFonts w:ascii="Calibri" w:hAnsi="Calibri" w:cs="Calibri"/>
              </w:rPr>
            </w:pPr>
            <w:r w:rsidRPr="00E1248B">
              <w:rPr>
                <w:rFonts w:ascii="Calibri" w:hAnsi="Calibri" w:cs="Calibri"/>
              </w:rPr>
              <w:lastRenderedPageBreak/>
              <w:t>Other</w:t>
            </w:r>
          </w:p>
        </w:tc>
        <w:tc>
          <w:tcPr>
            <w:tcW w:w="0" w:type="auto"/>
          </w:tcPr>
          <w:p w14:paraId="0E807C84" w14:textId="5DB31645" w:rsidR="00C5710F" w:rsidRPr="00E1248B" w:rsidRDefault="00C5710F" w:rsidP="00DD5881">
            <w:pPr>
              <w:spacing w:line="360" w:lineRule="auto"/>
              <w:rPr>
                <w:rFonts w:ascii="Calibri" w:hAnsi="Calibri" w:cs="Calibri"/>
              </w:rPr>
            </w:pPr>
            <w:r w:rsidRPr="00E1248B">
              <w:rPr>
                <w:rFonts w:ascii="Calibri" w:hAnsi="Calibri" w:cs="Calibri"/>
              </w:rPr>
              <w:t>3,337</w:t>
            </w:r>
          </w:p>
        </w:tc>
        <w:tc>
          <w:tcPr>
            <w:tcW w:w="0" w:type="auto"/>
          </w:tcPr>
          <w:p w14:paraId="723593B7" w14:textId="3A6A313B" w:rsidR="00C5710F" w:rsidRPr="00E1248B" w:rsidRDefault="00C5710F" w:rsidP="00DD5881">
            <w:pPr>
              <w:spacing w:line="360" w:lineRule="auto"/>
              <w:rPr>
                <w:rFonts w:ascii="Calibri" w:hAnsi="Calibri" w:cs="Calibri"/>
              </w:rPr>
            </w:pPr>
            <w:r w:rsidRPr="00E1248B">
              <w:rPr>
                <w:rFonts w:ascii="Calibri" w:hAnsi="Calibri" w:cs="Calibri"/>
              </w:rPr>
              <w:t>8.92</w:t>
            </w:r>
          </w:p>
        </w:tc>
      </w:tr>
      <w:tr w:rsidR="00C5710F" w:rsidRPr="00E1248B" w14:paraId="4B3E9AE7" w14:textId="77777777" w:rsidTr="00D4731D">
        <w:trPr>
          <w:trHeight w:val="423"/>
          <w:jc w:val="center"/>
        </w:trPr>
        <w:tc>
          <w:tcPr>
            <w:tcW w:w="0" w:type="auto"/>
          </w:tcPr>
          <w:p w14:paraId="5D05EE75" w14:textId="16EF67F2" w:rsidR="00C5710F" w:rsidRPr="00E1248B" w:rsidRDefault="00C5710F" w:rsidP="00DD5881">
            <w:pPr>
              <w:spacing w:line="360" w:lineRule="auto"/>
              <w:rPr>
                <w:rFonts w:ascii="Calibri" w:hAnsi="Calibri" w:cs="Calibri"/>
              </w:rPr>
            </w:pPr>
            <w:r w:rsidRPr="00E1248B">
              <w:rPr>
                <w:rFonts w:ascii="Calibri" w:hAnsi="Calibri" w:cs="Calibri"/>
              </w:rPr>
              <w:t>Missing</w:t>
            </w:r>
          </w:p>
        </w:tc>
        <w:tc>
          <w:tcPr>
            <w:tcW w:w="0" w:type="auto"/>
          </w:tcPr>
          <w:p w14:paraId="4799F1BE" w14:textId="79737BA3" w:rsidR="00C5710F" w:rsidRPr="00E1248B" w:rsidRDefault="00C5710F" w:rsidP="00DD5881">
            <w:pPr>
              <w:spacing w:line="360" w:lineRule="auto"/>
              <w:rPr>
                <w:rFonts w:ascii="Calibri" w:hAnsi="Calibri" w:cs="Calibri"/>
              </w:rPr>
            </w:pPr>
            <w:r w:rsidRPr="00E1248B">
              <w:rPr>
                <w:rFonts w:ascii="Calibri" w:hAnsi="Calibri" w:cs="Calibri"/>
              </w:rPr>
              <w:t>3,425</w:t>
            </w:r>
          </w:p>
        </w:tc>
        <w:tc>
          <w:tcPr>
            <w:tcW w:w="0" w:type="auto"/>
          </w:tcPr>
          <w:p w14:paraId="77DBEDCC" w14:textId="5E5B1C6A" w:rsidR="00C5710F" w:rsidRPr="00E1248B" w:rsidRDefault="00C5710F" w:rsidP="00DD5881">
            <w:pPr>
              <w:spacing w:line="360" w:lineRule="auto"/>
              <w:rPr>
                <w:rFonts w:ascii="Calibri" w:hAnsi="Calibri" w:cs="Calibri"/>
              </w:rPr>
            </w:pPr>
            <w:r w:rsidRPr="00E1248B">
              <w:rPr>
                <w:rFonts w:ascii="Calibri" w:hAnsi="Calibri" w:cs="Calibri"/>
              </w:rPr>
              <w:t>9.16</w:t>
            </w:r>
          </w:p>
        </w:tc>
      </w:tr>
      <w:bookmarkEnd w:id="3"/>
      <w:tr w:rsidR="00C5710F" w:rsidRPr="00E1248B" w14:paraId="2BD31D34" w14:textId="77777777" w:rsidTr="00D4731D">
        <w:trPr>
          <w:trHeight w:val="438"/>
          <w:jc w:val="center"/>
        </w:trPr>
        <w:tc>
          <w:tcPr>
            <w:tcW w:w="0" w:type="auto"/>
          </w:tcPr>
          <w:p w14:paraId="3BC96A0F" w14:textId="685E069E" w:rsidR="00C5710F" w:rsidRPr="00E1248B" w:rsidRDefault="00C5710F" w:rsidP="00DD5881">
            <w:pPr>
              <w:spacing w:line="360" w:lineRule="auto"/>
              <w:rPr>
                <w:rFonts w:ascii="Calibri" w:hAnsi="Calibri" w:cs="Calibri"/>
              </w:rPr>
            </w:pPr>
            <w:r w:rsidRPr="00E1248B">
              <w:rPr>
                <w:rFonts w:ascii="Calibri" w:hAnsi="Calibri" w:cs="Calibri"/>
                <w:b/>
                <w:bCs/>
              </w:rPr>
              <w:t>Region</w:t>
            </w:r>
          </w:p>
        </w:tc>
        <w:tc>
          <w:tcPr>
            <w:tcW w:w="0" w:type="auto"/>
          </w:tcPr>
          <w:p w14:paraId="38F688A2" w14:textId="23E72FFE" w:rsidR="00C5710F" w:rsidRPr="00E1248B" w:rsidRDefault="00C5710F" w:rsidP="00DD5881">
            <w:pPr>
              <w:spacing w:line="360" w:lineRule="auto"/>
              <w:rPr>
                <w:rFonts w:ascii="Calibri" w:hAnsi="Calibri" w:cs="Calibri"/>
              </w:rPr>
            </w:pPr>
          </w:p>
        </w:tc>
        <w:tc>
          <w:tcPr>
            <w:tcW w:w="0" w:type="auto"/>
          </w:tcPr>
          <w:p w14:paraId="64E477C1" w14:textId="36DBA8CA" w:rsidR="00C5710F" w:rsidRPr="00E1248B" w:rsidRDefault="00C5710F" w:rsidP="00DD5881">
            <w:pPr>
              <w:spacing w:line="360" w:lineRule="auto"/>
              <w:rPr>
                <w:rFonts w:ascii="Calibri" w:hAnsi="Calibri" w:cs="Calibri"/>
              </w:rPr>
            </w:pPr>
          </w:p>
        </w:tc>
      </w:tr>
      <w:tr w:rsidR="00C5710F" w:rsidRPr="00E1248B" w14:paraId="08576C04" w14:textId="77777777" w:rsidTr="00D4731D">
        <w:trPr>
          <w:trHeight w:val="423"/>
          <w:jc w:val="center"/>
        </w:trPr>
        <w:tc>
          <w:tcPr>
            <w:tcW w:w="0" w:type="auto"/>
          </w:tcPr>
          <w:p w14:paraId="5D14118E" w14:textId="7A30BBC1" w:rsidR="00C5710F" w:rsidRPr="00E1248B" w:rsidRDefault="00C5710F" w:rsidP="00DD5881">
            <w:pPr>
              <w:spacing w:line="360" w:lineRule="auto"/>
              <w:rPr>
                <w:rFonts w:ascii="Calibri" w:hAnsi="Calibri" w:cs="Calibri"/>
              </w:rPr>
            </w:pPr>
            <w:r w:rsidRPr="00E1248B">
              <w:rPr>
                <w:rFonts w:ascii="Calibri" w:hAnsi="Calibri" w:cs="Calibri"/>
              </w:rPr>
              <w:t>Greater Glasgow and Clyde</w:t>
            </w:r>
          </w:p>
        </w:tc>
        <w:tc>
          <w:tcPr>
            <w:tcW w:w="0" w:type="auto"/>
          </w:tcPr>
          <w:p w14:paraId="65F2613B" w14:textId="3A9FCB95" w:rsidR="00C5710F" w:rsidRPr="00E1248B" w:rsidRDefault="00C5710F" w:rsidP="00DD5881">
            <w:pPr>
              <w:spacing w:line="360" w:lineRule="auto"/>
              <w:rPr>
                <w:rFonts w:ascii="Calibri" w:hAnsi="Calibri" w:cs="Calibri"/>
              </w:rPr>
            </w:pPr>
            <w:r w:rsidRPr="00E1248B">
              <w:rPr>
                <w:rFonts w:ascii="Calibri" w:hAnsi="Calibri" w:cs="Calibri"/>
              </w:rPr>
              <w:t>9,987</w:t>
            </w:r>
          </w:p>
        </w:tc>
        <w:tc>
          <w:tcPr>
            <w:tcW w:w="0" w:type="auto"/>
          </w:tcPr>
          <w:p w14:paraId="1E88FCD0" w14:textId="1F51DF55" w:rsidR="00C5710F" w:rsidRPr="00E1248B" w:rsidRDefault="00C5710F" w:rsidP="00DD5881">
            <w:pPr>
              <w:spacing w:line="360" w:lineRule="auto"/>
              <w:rPr>
                <w:rFonts w:ascii="Calibri" w:hAnsi="Calibri" w:cs="Calibri"/>
              </w:rPr>
            </w:pPr>
            <w:r w:rsidRPr="00E1248B">
              <w:rPr>
                <w:rFonts w:ascii="Calibri" w:hAnsi="Calibri" w:cs="Calibri"/>
              </w:rPr>
              <w:t>26.7</w:t>
            </w:r>
          </w:p>
        </w:tc>
      </w:tr>
      <w:tr w:rsidR="00C5710F" w:rsidRPr="00E1248B" w14:paraId="482EA7A9" w14:textId="77777777" w:rsidTr="00D4731D">
        <w:trPr>
          <w:trHeight w:val="438"/>
          <w:jc w:val="center"/>
        </w:trPr>
        <w:tc>
          <w:tcPr>
            <w:tcW w:w="0" w:type="auto"/>
          </w:tcPr>
          <w:p w14:paraId="1CD78EA0" w14:textId="22F18F4E" w:rsidR="00C5710F" w:rsidRPr="00E1248B" w:rsidRDefault="00C5710F" w:rsidP="00DD5881">
            <w:pPr>
              <w:spacing w:line="360" w:lineRule="auto"/>
              <w:rPr>
                <w:rFonts w:ascii="Calibri" w:hAnsi="Calibri" w:cs="Calibri"/>
              </w:rPr>
            </w:pPr>
            <w:r w:rsidRPr="00E1248B">
              <w:rPr>
                <w:rFonts w:ascii="Calibri" w:hAnsi="Calibri" w:cs="Calibri"/>
              </w:rPr>
              <w:t>Tayside</w:t>
            </w:r>
          </w:p>
        </w:tc>
        <w:tc>
          <w:tcPr>
            <w:tcW w:w="0" w:type="auto"/>
          </w:tcPr>
          <w:p w14:paraId="14875A4F" w14:textId="28136B7E" w:rsidR="00C5710F" w:rsidRPr="00E1248B" w:rsidRDefault="00C5710F" w:rsidP="00DD5881">
            <w:pPr>
              <w:spacing w:line="360" w:lineRule="auto"/>
              <w:rPr>
                <w:rFonts w:ascii="Calibri" w:hAnsi="Calibri" w:cs="Calibri"/>
              </w:rPr>
            </w:pPr>
            <w:r w:rsidRPr="00E1248B">
              <w:rPr>
                <w:rFonts w:ascii="Calibri" w:hAnsi="Calibri" w:cs="Calibri"/>
              </w:rPr>
              <w:t>3,106</w:t>
            </w:r>
          </w:p>
        </w:tc>
        <w:tc>
          <w:tcPr>
            <w:tcW w:w="0" w:type="auto"/>
          </w:tcPr>
          <w:p w14:paraId="27A0356F" w14:textId="0C0F978B" w:rsidR="00C5710F" w:rsidRPr="00E1248B" w:rsidRDefault="00C5710F" w:rsidP="00DD5881">
            <w:pPr>
              <w:spacing w:line="360" w:lineRule="auto"/>
              <w:rPr>
                <w:rFonts w:ascii="Calibri" w:hAnsi="Calibri" w:cs="Calibri"/>
              </w:rPr>
            </w:pPr>
            <w:r w:rsidRPr="00E1248B">
              <w:rPr>
                <w:rFonts w:ascii="Calibri" w:hAnsi="Calibri" w:cs="Calibri"/>
              </w:rPr>
              <w:t>8.3</w:t>
            </w:r>
          </w:p>
        </w:tc>
      </w:tr>
      <w:tr w:rsidR="00C5710F" w:rsidRPr="00E1248B" w14:paraId="18873116" w14:textId="77777777" w:rsidTr="00D4731D">
        <w:trPr>
          <w:trHeight w:val="423"/>
          <w:jc w:val="center"/>
        </w:trPr>
        <w:tc>
          <w:tcPr>
            <w:tcW w:w="0" w:type="auto"/>
          </w:tcPr>
          <w:p w14:paraId="40E2CB0C" w14:textId="4D357002" w:rsidR="00C5710F" w:rsidRPr="00E1248B" w:rsidRDefault="00C5710F" w:rsidP="00DD5881">
            <w:pPr>
              <w:spacing w:line="360" w:lineRule="auto"/>
              <w:rPr>
                <w:rFonts w:ascii="Calibri" w:hAnsi="Calibri" w:cs="Calibri"/>
              </w:rPr>
            </w:pPr>
            <w:r w:rsidRPr="00E1248B">
              <w:rPr>
                <w:rFonts w:ascii="Calibri" w:hAnsi="Calibri" w:cs="Calibri"/>
              </w:rPr>
              <w:t>Other NHS regions in Scotland</w:t>
            </w:r>
          </w:p>
        </w:tc>
        <w:tc>
          <w:tcPr>
            <w:tcW w:w="0" w:type="auto"/>
          </w:tcPr>
          <w:p w14:paraId="57945E3B" w14:textId="1616E5A1" w:rsidR="00C5710F" w:rsidRPr="00E1248B" w:rsidRDefault="00C5710F" w:rsidP="00DD5881">
            <w:pPr>
              <w:spacing w:line="360" w:lineRule="auto"/>
              <w:rPr>
                <w:rFonts w:ascii="Calibri" w:hAnsi="Calibri" w:cs="Calibri"/>
              </w:rPr>
            </w:pPr>
            <w:r w:rsidRPr="00E1248B">
              <w:rPr>
                <w:rFonts w:ascii="Calibri" w:hAnsi="Calibri" w:cs="Calibri"/>
              </w:rPr>
              <w:t>24,316</w:t>
            </w:r>
          </w:p>
        </w:tc>
        <w:tc>
          <w:tcPr>
            <w:tcW w:w="0" w:type="auto"/>
          </w:tcPr>
          <w:p w14:paraId="71EFD339" w14:textId="0774105B" w:rsidR="00C5710F" w:rsidRPr="00E1248B" w:rsidRDefault="00C5710F" w:rsidP="00DD5881">
            <w:pPr>
              <w:spacing w:line="360" w:lineRule="auto"/>
              <w:rPr>
                <w:rFonts w:ascii="Calibri" w:hAnsi="Calibri" w:cs="Calibri"/>
              </w:rPr>
            </w:pPr>
            <w:r w:rsidRPr="00E1248B">
              <w:rPr>
                <w:rFonts w:ascii="Calibri" w:hAnsi="Calibri" w:cs="Calibri"/>
              </w:rPr>
              <w:t>65.0</w:t>
            </w:r>
          </w:p>
        </w:tc>
      </w:tr>
    </w:tbl>
    <w:p w14:paraId="7988C490" w14:textId="77777777" w:rsidR="00763E81" w:rsidRPr="00A25A95" w:rsidRDefault="00763E81" w:rsidP="00DD5881">
      <w:pPr>
        <w:spacing w:line="360" w:lineRule="auto"/>
        <w:rPr>
          <w:rFonts w:ascii="Calibri" w:hAnsi="Calibri" w:cs="Calibri"/>
          <w:b/>
          <w:bCs/>
        </w:rPr>
      </w:pPr>
    </w:p>
    <w:p w14:paraId="107BE539" w14:textId="77777777" w:rsidR="0056343A" w:rsidRPr="00A25A95" w:rsidRDefault="0056343A" w:rsidP="00DD5881">
      <w:pPr>
        <w:spacing w:line="360" w:lineRule="auto"/>
        <w:rPr>
          <w:rFonts w:ascii="Calibri" w:hAnsi="Calibri" w:cs="Calibri"/>
          <w:b/>
          <w:bCs/>
        </w:rPr>
      </w:pPr>
    </w:p>
    <w:p w14:paraId="2A6EC939" w14:textId="64EA344D" w:rsidR="00860624" w:rsidRPr="00E1248B" w:rsidRDefault="00A7757C" w:rsidP="0056343A">
      <w:pPr>
        <w:spacing w:line="360" w:lineRule="auto"/>
        <w:jc w:val="center"/>
        <w:rPr>
          <w:rFonts w:ascii="Calibri" w:hAnsi="Calibri" w:cs="Calibri"/>
          <w:b/>
          <w:bCs/>
        </w:rPr>
      </w:pPr>
      <w:r w:rsidRPr="00E1248B">
        <w:rPr>
          <w:rFonts w:ascii="Calibri" w:hAnsi="Calibri" w:cs="Calibri"/>
          <w:b/>
          <w:bCs/>
        </w:rPr>
        <w:t xml:space="preserve">Table </w:t>
      </w:r>
      <w:r w:rsidRPr="00746C26">
        <w:rPr>
          <w:rFonts w:ascii="Calibri" w:hAnsi="Calibri" w:cs="Calibri"/>
          <w:b/>
          <w:bCs/>
        </w:rPr>
        <w:t>2</w:t>
      </w:r>
      <w:r w:rsidRPr="00E1248B">
        <w:rPr>
          <w:rFonts w:ascii="Calibri" w:hAnsi="Calibri" w:cs="Calibri"/>
          <w:b/>
          <w:bCs/>
        </w:rPr>
        <w:t xml:space="preserve">. Characteristics of </w:t>
      </w:r>
      <w:r w:rsidRPr="00FC5E9B">
        <w:rPr>
          <w:rFonts w:ascii="Calibri" w:eastAsia="Times New Roman" w:hAnsi="Calibri" w:cs="Calibri"/>
          <w:b/>
          <w:bCs/>
          <w:color w:val="424242"/>
          <w:kern w:val="0"/>
          <w14:ligatures w14:val="none"/>
        </w:rPr>
        <w:t xml:space="preserve">Outcome </w:t>
      </w:r>
    </w:p>
    <w:tbl>
      <w:tblPr>
        <w:tblStyle w:val="TableGrid"/>
        <w:tblW w:w="0" w:type="auto"/>
        <w:jc w:val="center"/>
        <w:tblLook w:val="04A0" w:firstRow="1" w:lastRow="0" w:firstColumn="1" w:lastColumn="0" w:noHBand="0" w:noVBand="1"/>
      </w:tblPr>
      <w:tblGrid>
        <w:gridCol w:w="2655"/>
        <w:gridCol w:w="1121"/>
        <w:gridCol w:w="1746"/>
        <w:gridCol w:w="1489"/>
        <w:gridCol w:w="1148"/>
      </w:tblGrid>
      <w:tr w:rsidR="00746C26" w:rsidRPr="00746C26" w14:paraId="43AF7A02" w14:textId="77777777" w:rsidTr="00746C26">
        <w:trPr>
          <w:jc w:val="center"/>
        </w:trPr>
        <w:tc>
          <w:tcPr>
            <w:tcW w:w="0" w:type="auto"/>
            <w:hideMark/>
          </w:tcPr>
          <w:p w14:paraId="771F4EE5" w14:textId="50974269" w:rsidR="00746C26" w:rsidRPr="00FC5E9B" w:rsidRDefault="00746C26" w:rsidP="00746C26">
            <w:pPr>
              <w:spacing w:before="240" w:after="360" w:line="360" w:lineRule="auto"/>
              <w:rPr>
                <w:rFonts w:ascii="Calibri" w:eastAsia="Times New Roman" w:hAnsi="Calibri" w:cs="Calibri"/>
                <w:b/>
                <w:bCs/>
                <w:color w:val="424242"/>
                <w:kern w:val="0"/>
                <w14:ligatures w14:val="none"/>
              </w:rPr>
            </w:pPr>
            <w:r w:rsidRPr="00FC5E9B">
              <w:rPr>
                <w:rFonts w:ascii="Calibri" w:eastAsia="Times New Roman" w:hAnsi="Calibri" w:cs="Calibri"/>
                <w:b/>
                <w:bCs/>
                <w:color w:val="424242"/>
                <w:kern w:val="0"/>
                <w14:ligatures w14:val="none"/>
              </w:rPr>
              <w:t xml:space="preserve">Outcome </w:t>
            </w:r>
          </w:p>
        </w:tc>
        <w:tc>
          <w:tcPr>
            <w:tcW w:w="0" w:type="auto"/>
            <w:hideMark/>
          </w:tcPr>
          <w:p w14:paraId="07229B2F" w14:textId="3336DE79" w:rsidR="00746C26" w:rsidRPr="00FC5E9B" w:rsidRDefault="00746C26" w:rsidP="00746C26">
            <w:pPr>
              <w:spacing w:before="240" w:after="360" w:line="360" w:lineRule="auto"/>
              <w:rPr>
                <w:rFonts w:ascii="Calibri" w:eastAsia="Times New Roman" w:hAnsi="Calibri" w:cs="Calibri"/>
                <w:b/>
                <w:bCs/>
                <w:color w:val="424242"/>
                <w:kern w:val="0"/>
                <w14:ligatures w14:val="none"/>
              </w:rPr>
            </w:pPr>
            <w:r w:rsidRPr="00746C26">
              <w:rPr>
                <w:rFonts w:ascii="Calibri" w:eastAsia="Times New Roman" w:hAnsi="Calibri" w:cs="Calibri"/>
                <w:b/>
                <w:bCs/>
                <w:color w:val="424242"/>
                <w:kern w:val="0"/>
                <w14:ligatures w14:val="none"/>
              </w:rPr>
              <w:t xml:space="preserve">No Event </w:t>
            </w:r>
          </w:p>
        </w:tc>
        <w:tc>
          <w:tcPr>
            <w:tcW w:w="0" w:type="auto"/>
            <w:hideMark/>
          </w:tcPr>
          <w:p w14:paraId="55A81471" w14:textId="59E55993" w:rsidR="00746C26" w:rsidRPr="00FC5E9B" w:rsidRDefault="00746C26" w:rsidP="00746C26">
            <w:pPr>
              <w:spacing w:before="240" w:after="360" w:line="360" w:lineRule="auto"/>
              <w:rPr>
                <w:rFonts w:ascii="Calibri" w:eastAsia="Times New Roman" w:hAnsi="Calibri" w:cs="Calibri"/>
                <w:b/>
                <w:bCs/>
                <w:color w:val="424242"/>
                <w:kern w:val="0"/>
                <w14:ligatures w14:val="none"/>
              </w:rPr>
            </w:pPr>
            <w:r w:rsidRPr="00746C26">
              <w:rPr>
                <w:rFonts w:ascii="Calibri" w:eastAsia="Times New Roman" w:hAnsi="Calibri" w:cs="Calibri"/>
                <w:b/>
                <w:bCs/>
                <w:color w:val="424242"/>
                <w:kern w:val="0"/>
                <w14:ligatures w14:val="none"/>
              </w:rPr>
              <w:t>Event Occurred</w:t>
            </w:r>
          </w:p>
        </w:tc>
        <w:tc>
          <w:tcPr>
            <w:tcW w:w="0" w:type="auto"/>
            <w:hideMark/>
          </w:tcPr>
          <w:p w14:paraId="2C252000" w14:textId="69766158" w:rsidR="00746C26" w:rsidRPr="00FC5E9B" w:rsidRDefault="00746C26" w:rsidP="00746C26">
            <w:pPr>
              <w:spacing w:before="240" w:after="360" w:line="360" w:lineRule="auto"/>
              <w:rPr>
                <w:rFonts w:ascii="Calibri" w:eastAsia="Times New Roman" w:hAnsi="Calibri" w:cs="Calibri"/>
                <w:b/>
                <w:bCs/>
                <w:color w:val="424242"/>
                <w:kern w:val="0"/>
                <w14:ligatures w14:val="none"/>
              </w:rPr>
            </w:pPr>
            <w:r w:rsidRPr="00746C26">
              <w:rPr>
                <w:rStyle w:val="Strong"/>
                <w:rFonts w:ascii="Calibri" w:hAnsi="Calibri" w:cs="Calibri"/>
                <w:color w:val="424242"/>
              </w:rPr>
              <w:t>No Event (%)</w:t>
            </w:r>
          </w:p>
        </w:tc>
        <w:tc>
          <w:tcPr>
            <w:tcW w:w="0" w:type="auto"/>
            <w:hideMark/>
          </w:tcPr>
          <w:p w14:paraId="27495786" w14:textId="6688A236" w:rsidR="00746C26" w:rsidRPr="00FC5E9B" w:rsidRDefault="00746C26" w:rsidP="00746C26">
            <w:pPr>
              <w:spacing w:before="240" w:after="360" w:line="360" w:lineRule="auto"/>
              <w:rPr>
                <w:rFonts w:ascii="Calibri" w:eastAsia="Times New Roman" w:hAnsi="Calibri" w:cs="Calibri"/>
                <w:b/>
                <w:bCs/>
                <w:color w:val="424242"/>
                <w:kern w:val="0"/>
                <w14:ligatures w14:val="none"/>
              </w:rPr>
            </w:pPr>
            <w:r w:rsidRPr="00746C26">
              <w:rPr>
                <w:rStyle w:val="Strong"/>
                <w:rFonts w:ascii="Calibri" w:hAnsi="Calibri" w:cs="Calibri"/>
                <w:color w:val="424242"/>
              </w:rPr>
              <w:t>Event (%)</w:t>
            </w:r>
          </w:p>
        </w:tc>
      </w:tr>
      <w:tr w:rsidR="00746C26" w:rsidRPr="00746C26" w14:paraId="50052643" w14:textId="77777777" w:rsidTr="00746C26">
        <w:trPr>
          <w:jc w:val="center"/>
        </w:trPr>
        <w:tc>
          <w:tcPr>
            <w:tcW w:w="0" w:type="auto"/>
            <w:hideMark/>
          </w:tcPr>
          <w:p w14:paraId="3DE87FC2" w14:textId="763774ED" w:rsidR="00FC5E9B" w:rsidRPr="00FC5E9B" w:rsidRDefault="00F06C74" w:rsidP="00DD5881">
            <w:pPr>
              <w:spacing w:before="240" w:after="360" w:line="360" w:lineRule="auto"/>
              <w:rPr>
                <w:rFonts w:ascii="Calibri" w:eastAsia="Times New Roman" w:hAnsi="Calibri" w:cs="Calibri"/>
                <w:color w:val="424242"/>
                <w:kern w:val="0"/>
                <w14:ligatures w14:val="none"/>
              </w:rPr>
            </w:pPr>
            <w:r w:rsidRPr="00E1248B">
              <w:rPr>
                <w:rFonts w:ascii="Calibri" w:hAnsi="Calibri" w:cs="Calibri"/>
                <w:b/>
                <w:bCs/>
              </w:rPr>
              <w:t>Non-fatal overdose</w:t>
            </w:r>
          </w:p>
        </w:tc>
        <w:tc>
          <w:tcPr>
            <w:tcW w:w="0" w:type="auto"/>
            <w:hideMark/>
          </w:tcPr>
          <w:p w14:paraId="1B7A17EF" w14:textId="77777777" w:rsidR="00FC5E9B" w:rsidRPr="00FC5E9B" w:rsidRDefault="00FC5E9B" w:rsidP="00DD5881">
            <w:pPr>
              <w:spacing w:before="240" w:after="360" w:line="360" w:lineRule="auto"/>
              <w:rPr>
                <w:rFonts w:ascii="Calibri" w:eastAsia="Times New Roman" w:hAnsi="Calibri" w:cs="Calibri"/>
                <w:color w:val="424242"/>
                <w:kern w:val="0"/>
                <w14:ligatures w14:val="none"/>
              </w:rPr>
            </w:pPr>
            <w:r w:rsidRPr="00FC5E9B">
              <w:rPr>
                <w:rFonts w:ascii="Calibri" w:eastAsia="Times New Roman" w:hAnsi="Calibri" w:cs="Calibri"/>
                <w:color w:val="424242"/>
                <w:kern w:val="0"/>
                <w14:ligatures w14:val="none"/>
              </w:rPr>
              <w:t>31,838</w:t>
            </w:r>
          </w:p>
        </w:tc>
        <w:tc>
          <w:tcPr>
            <w:tcW w:w="0" w:type="auto"/>
            <w:hideMark/>
          </w:tcPr>
          <w:p w14:paraId="35F4F93A" w14:textId="77777777" w:rsidR="00FC5E9B" w:rsidRPr="00FC5E9B" w:rsidRDefault="00FC5E9B" w:rsidP="00DD5881">
            <w:pPr>
              <w:spacing w:before="240" w:after="360" w:line="360" w:lineRule="auto"/>
              <w:rPr>
                <w:rFonts w:ascii="Calibri" w:eastAsia="Times New Roman" w:hAnsi="Calibri" w:cs="Calibri"/>
                <w:color w:val="424242"/>
                <w:kern w:val="0"/>
                <w14:ligatures w14:val="none"/>
              </w:rPr>
            </w:pPr>
            <w:r w:rsidRPr="00FC5E9B">
              <w:rPr>
                <w:rFonts w:ascii="Calibri" w:eastAsia="Times New Roman" w:hAnsi="Calibri" w:cs="Calibri"/>
                <w:color w:val="424242"/>
                <w:kern w:val="0"/>
                <w14:ligatures w14:val="none"/>
              </w:rPr>
              <w:t>5,571</w:t>
            </w:r>
          </w:p>
        </w:tc>
        <w:tc>
          <w:tcPr>
            <w:tcW w:w="0" w:type="auto"/>
            <w:hideMark/>
          </w:tcPr>
          <w:p w14:paraId="1209F1E7" w14:textId="77777777" w:rsidR="00FC5E9B" w:rsidRPr="00FC5E9B" w:rsidRDefault="00FC5E9B" w:rsidP="00DD5881">
            <w:pPr>
              <w:spacing w:before="240" w:after="360" w:line="360" w:lineRule="auto"/>
              <w:rPr>
                <w:rFonts w:ascii="Calibri" w:eastAsia="Times New Roman" w:hAnsi="Calibri" w:cs="Calibri"/>
                <w:color w:val="424242"/>
                <w:kern w:val="0"/>
                <w14:ligatures w14:val="none"/>
              </w:rPr>
            </w:pPr>
            <w:r w:rsidRPr="00FC5E9B">
              <w:rPr>
                <w:rFonts w:ascii="Calibri" w:eastAsia="Times New Roman" w:hAnsi="Calibri" w:cs="Calibri"/>
                <w:color w:val="424242"/>
                <w:kern w:val="0"/>
                <w14:ligatures w14:val="none"/>
              </w:rPr>
              <w:t>85.1%</w:t>
            </w:r>
          </w:p>
        </w:tc>
        <w:tc>
          <w:tcPr>
            <w:tcW w:w="0" w:type="auto"/>
            <w:hideMark/>
          </w:tcPr>
          <w:p w14:paraId="2291D781" w14:textId="77777777" w:rsidR="00FC5E9B" w:rsidRPr="00FC5E9B" w:rsidRDefault="00FC5E9B" w:rsidP="00DD5881">
            <w:pPr>
              <w:spacing w:before="240" w:after="360" w:line="360" w:lineRule="auto"/>
              <w:rPr>
                <w:rFonts w:ascii="Calibri" w:eastAsia="Times New Roman" w:hAnsi="Calibri" w:cs="Calibri"/>
                <w:color w:val="424242"/>
                <w:kern w:val="0"/>
                <w14:ligatures w14:val="none"/>
              </w:rPr>
            </w:pPr>
            <w:r w:rsidRPr="00FC5E9B">
              <w:rPr>
                <w:rFonts w:ascii="Calibri" w:eastAsia="Times New Roman" w:hAnsi="Calibri" w:cs="Calibri"/>
                <w:color w:val="424242"/>
                <w:kern w:val="0"/>
                <w14:ligatures w14:val="none"/>
              </w:rPr>
              <w:t>14.9%</w:t>
            </w:r>
          </w:p>
        </w:tc>
      </w:tr>
      <w:tr w:rsidR="00746C26" w:rsidRPr="00746C26" w14:paraId="196671C5" w14:textId="77777777" w:rsidTr="00746C26">
        <w:trPr>
          <w:jc w:val="center"/>
        </w:trPr>
        <w:tc>
          <w:tcPr>
            <w:tcW w:w="0" w:type="auto"/>
            <w:hideMark/>
          </w:tcPr>
          <w:p w14:paraId="7099AD3B" w14:textId="61724921" w:rsidR="00FC5E9B" w:rsidRPr="00FC5E9B" w:rsidRDefault="00F06C74" w:rsidP="00DD5881">
            <w:pPr>
              <w:spacing w:before="240" w:after="360" w:line="360" w:lineRule="auto"/>
              <w:rPr>
                <w:rFonts w:ascii="Calibri" w:eastAsia="Times New Roman" w:hAnsi="Calibri" w:cs="Calibri"/>
                <w:color w:val="424242"/>
                <w:kern w:val="0"/>
                <w14:ligatures w14:val="none"/>
              </w:rPr>
            </w:pPr>
            <w:r w:rsidRPr="00E1248B">
              <w:rPr>
                <w:rFonts w:ascii="Calibri" w:hAnsi="Calibri" w:cs="Calibri"/>
                <w:b/>
                <w:bCs/>
              </w:rPr>
              <w:t>All-cause mortality</w:t>
            </w:r>
          </w:p>
        </w:tc>
        <w:tc>
          <w:tcPr>
            <w:tcW w:w="0" w:type="auto"/>
            <w:hideMark/>
          </w:tcPr>
          <w:p w14:paraId="5297A8EB" w14:textId="77777777" w:rsidR="00FC5E9B" w:rsidRPr="00FC5E9B" w:rsidRDefault="00FC5E9B" w:rsidP="00DD5881">
            <w:pPr>
              <w:spacing w:before="240" w:after="360" w:line="360" w:lineRule="auto"/>
              <w:rPr>
                <w:rFonts w:ascii="Calibri" w:eastAsia="Times New Roman" w:hAnsi="Calibri" w:cs="Calibri"/>
                <w:color w:val="424242"/>
                <w:kern w:val="0"/>
                <w14:ligatures w14:val="none"/>
              </w:rPr>
            </w:pPr>
            <w:r w:rsidRPr="00FC5E9B">
              <w:rPr>
                <w:rFonts w:ascii="Calibri" w:eastAsia="Times New Roman" w:hAnsi="Calibri" w:cs="Calibri"/>
                <w:color w:val="424242"/>
                <w:kern w:val="0"/>
                <w14:ligatures w14:val="none"/>
              </w:rPr>
              <w:t>31,918</w:t>
            </w:r>
          </w:p>
        </w:tc>
        <w:tc>
          <w:tcPr>
            <w:tcW w:w="0" w:type="auto"/>
            <w:hideMark/>
          </w:tcPr>
          <w:p w14:paraId="1F381C36" w14:textId="77777777" w:rsidR="00FC5E9B" w:rsidRPr="00FC5E9B" w:rsidRDefault="00FC5E9B" w:rsidP="00DD5881">
            <w:pPr>
              <w:spacing w:before="240" w:after="360" w:line="360" w:lineRule="auto"/>
              <w:rPr>
                <w:rFonts w:ascii="Calibri" w:eastAsia="Times New Roman" w:hAnsi="Calibri" w:cs="Calibri"/>
                <w:color w:val="424242"/>
                <w:kern w:val="0"/>
                <w14:ligatures w14:val="none"/>
              </w:rPr>
            </w:pPr>
            <w:r w:rsidRPr="00FC5E9B">
              <w:rPr>
                <w:rFonts w:ascii="Calibri" w:eastAsia="Times New Roman" w:hAnsi="Calibri" w:cs="Calibri"/>
                <w:color w:val="424242"/>
                <w:kern w:val="0"/>
                <w14:ligatures w14:val="none"/>
              </w:rPr>
              <w:t>5,491</w:t>
            </w:r>
          </w:p>
        </w:tc>
        <w:tc>
          <w:tcPr>
            <w:tcW w:w="0" w:type="auto"/>
            <w:hideMark/>
          </w:tcPr>
          <w:p w14:paraId="469EF91E" w14:textId="77777777" w:rsidR="00FC5E9B" w:rsidRPr="00FC5E9B" w:rsidRDefault="00FC5E9B" w:rsidP="00DD5881">
            <w:pPr>
              <w:spacing w:before="240" w:after="360" w:line="360" w:lineRule="auto"/>
              <w:rPr>
                <w:rFonts w:ascii="Calibri" w:eastAsia="Times New Roman" w:hAnsi="Calibri" w:cs="Calibri"/>
                <w:color w:val="424242"/>
                <w:kern w:val="0"/>
                <w14:ligatures w14:val="none"/>
              </w:rPr>
            </w:pPr>
            <w:r w:rsidRPr="00FC5E9B">
              <w:rPr>
                <w:rFonts w:ascii="Calibri" w:eastAsia="Times New Roman" w:hAnsi="Calibri" w:cs="Calibri"/>
                <w:color w:val="424242"/>
                <w:kern w:val="0"/>
                <w14:ligatures w14:val="none"/>
              </w:rPr>
              <w:t>85.3%</w:t>
            </w:r>
          </w:p>
        </w:tc>
        <w:tc>
          <w:tcPr>
            <w:tcW w:w="0" w:type="auto"/>
            <w:hideMark/>
          </w:tcPr>
          <w:p w14:paraId="5BC7C1E6" w14:textId="77777777" w:rsidR="00FC5E9B" w:rsidRPr="00FC5E9B" w:rsidRDefault="00FC5E9B" w:rsidP="00DD5881">
            <w:pPr>
              <w:spacing w:before="240" w:after="360" w:line="360" w:lineRule="auto"/>
              <w:rPr>
                <w:rFonts w:ascii="Calibri" w:eastAsia="Times New Roman" w:hAnsi="Calibri" w:cs="Calibri"/>
                <w:color w:val="424242"/>
                <w:kern w:val="0"/>
                <w14:ligatures w14:val="none"/>
              </w:rPr>
            </w:pPr>
            <w:r w:rsidRPr="00FC5E9B">
              <w:rPr>
                <w:rFonts w:ascii="Calibri" w:eastAsia="Times New Roman" w:hAnsi="Calibri" w:cs="Calibri"/>
                <w:color w:val="424242"/>
                <w:kern w:val="0"/>
                <w14:ligatures w14:val="none"/>
              </w:rPr>
              <w:t>14.7%</w:t>
            </w:r>
          </w:p>
        </w:tc>
      </w:tr>
      <w:tr w:rsidR="00746C26" w:rsidRPr="00746C26" w14:paraId="59A4A70F" w14:textId="77777777" w:rsidTr="00746C26">
        <w:trPr>
          <w:jc w:val="center"/>
        </w:trPr>
        <w:tc>
          <w:tcPr>
            <w:tcW w:w="0" w:type="auto"/>
            <w:hideMark/>
          </w:tcPr>
          <w:p w14:paraId="0A27448C" w14:textId="7F917F17" w:rsidR="00FC5E9B" w:rsidRPr="00FC5E9B" w:rsidRDefault="00F06C74" w:rsidP="00DD5881">
            <w:pPr>
              <w:spacing w:before="240" w:after="360" w:line="360" w:lineRule="auto"/>
              <w:rPr>
                <w:rFonts w:ascii="Calibri" w:eastAsia="Times New Roman" w:hAnsi="Calibri" w:cs="Calibri"/>
                <w:color w:val="424242"/>
                <w:kern w:val="0"/>
                <w14:ligatures w14:val="none"/>
              </w:rPr>
            </w:pPr>
            <w:r w:rsidRPr="00E1248B">
              <w:rPr>
                <w:rFonts w:ascii="Calibri" w:hAnsi="Calibri" w:cs="Calibri"/>
                <w:b/>
                <w:bCs/>
              </w:rPr>
              <w:t>Drug-related deaths</w:t>
            </w:r>
          </w:p>
        </w:tc>
        <w:tc>
          <w:tcPr>
            <w:tcW w:w="0" w:type="auto"/>
            <w:hideMark/>
          </w:tcPr>
          <w:p w14:paraId="1F7D6842" w14:textId="77777777" w:rsidR="00FC5E9B" w:rsidRPr="00FC5E9B" w:rsidRDefault="00FC5E9B" w:rsidP="00DD5881">
            <w:pPr>
              <w:spacing w:before="240" w:after="360" w:line="360" w:lineRule="auto"/>
              <w:rPr>
                <w:rFonts w:ascii="Calibri" w:eastAsia="Times New Roman" w:hAnsi="Calibri" w:cs="Calibri"/>
                <w:color w:val="424242"/>
                <w:kern w:val="0"/>
                <w14:ligatures w14:val="none"/>
              </w:rPr>
            </w:pPr>
            <w:r w:rsidRPr="00FC5E9B">
              <w:rPr>
                <w:rFonts w:ascii="Calibri" w:eastAsia="Times New Roman" w:hAnsi="Calibri" w:cs="Calibri"/>
                <w:color w:val="424242"/>
                <w:kern w:val="0"/>
                <w14:ligatures w14:val="none"/>
              </w:rPr>
              <w:t>34,169</w:t>
            </w:r>
          </w:p>
        </w:tc>
        <w:tc>
          <w:tcPr>
            <w:tcW w:w="0" w:type="auto"/>
            <w:hideMark/>
          </w:tcPr>
          <w:p w14:paraId="291564B3" w14:textId="77777777" w:rsidR="00FC5E9B" w:rsidRPr="00FC5E9B" w:rsidRDefault="00FC5E9B" w:rsidP="00DD5881">
            <w:pPr>
              <w:spacing w:before="240" w:after="360" w:line="360" w:lineRule="auto"/>
              <w:rPr>
                <w:rFonts w:ascii="Calibri" w:eastAsia="Times New Roman" w:hAnsi="Calibri" w:cs="Calibri"/>
                <w:color w:val="424242"/>
                <w:kern w:val="0"/>
                <w14:ligatures w14:val="none"/>
              </w:rPr>
            </w:pPr>
            <w:r w:rsidRPr="00FC5E9B">
              <w:rPr>
                <w:rFonts w:ascii="Calibri" w:eastAsia="Times New Roman" w:hAnsi="Calibri" w:cs="Calibri"/>
                <w:color w:val="424242"/>
                <w:kern w:val="0"/>
                <w14:ligatures w14:val="none"/>
              </w:rPr>
              <w:t>3,240</w:t>
            </w:r>
          </w:p>
        </w:tc>
        <w:tc>
          <w:tcPr>
            <w:tcW w:w="0" w:type="auto"/>
            <w:hideMark/>
          </w:tcPr>
          <w:p w14:paraId="34C4EDC3" w14:textId="77777777" w:rsidR="00FC5E9B" w:rsidRPr="00FC5E9B" w:rsidRDefault="00FC5E9B" w:rsidP="00DD5881">
            <w:pPr>
              <w:spacing w:before="240" w:after="360" w:line="360" w:lineRule="auto"/>
              <w:rPr>
                <w:rFonts w:ascii="Calibri" w:eastAsia="Times New Roman" w:hAnsi="Calibri" w:cs="Calibri"/>
                <w:color w:val="424242"/>
                <w:kern w:val="0"/>
                <w14:ligatures w14:val="none"/>
              </w:rPr>
            </w:pPr>
            <w:r w:rsidRPr="00FC5E9B">
              <w:rPr>
                <w:rFonts w:ascii="Calibri" w:eastAsia="Times New Roman" w:hAnsi="Calibri" w:cs="Calibri"/>
                <w:color w:val="424242"/>
                <w:kern w:val="0"/>
                <w14:ligatures w14:val="none"/>
              </w:rPr>
              <w:t>91.3%</w:t>
            </w:r>
          </w:p>
        </w:tc>
        <w:tc>
          <w:tcPr>
            <w:tcW w:w="0" w:type="auto"/>
            <w:hideMark/>
          </w:tcPr>
          <w:p w14:paraId="01E2174D" w14:textId="77777777" w:rsidR="00FC5E9B" w:rsidRPr="00FC5E9B" w:rsidRDefault="00FC5E9B" w:rsidP="00DD5881">
            <w:pPr>
              <w:spacing w:before="240" w:after="360" w:line="360" w:lineRule="auto"/>
              <w:rPr>
                <w:rFonts w:ascii="Calibri" w:eastAsia="Times New Roman" w:hAnsi="Calibri" w:cs="Calibri"/>
                <w:color w:val="424242"/>
                <w:kern w:val="0"/>
                <w14:ligatures w14:val="none"/>
              </w:rPr>
            </w:pPr>
            <w:r w:rsidRPr="00FC5E9B">
              <w:rPr>
                <w:rFonts w:ascii="Calibri" w:eastAsia="Times New Roman" w:hAnsi="Calibri" w:cs="Calibri"/>
                <w:color w:val="424242"/>
                <w:kern w:val="0"/>
                <w14:ligatures w14:val="none"/>
              </w:rPr>
              <w:t>8.66%</w:t>
            </w:r>
          </w:p>
        </w:tc>
      </w:tr>
      <w:tr w:rsidR="00746C26" w:rsidRPr="00746C26" w14:paraId="3432FFE1" w14:textId="77777777" w:rsidTr="00746C26">
        <w:trPr>
          <w:jc w:val="center"/>
        </w:trPr>
        <w:tc>
          <w:tcPr>
            <w:tcW w:w="0" w:type="auto"/>
            <w:hideMark/>
          </w:tcPr>
          <w:p w14:paraId="1CA9CC3C" w14:textId="29E7DEFC" w:rsidR="00FC5E9B" w:rsidRPr="00FC5E9B" w:rsidRDefault="00F06C74" w:rsidP="00DD5881">
            <w:pPr>
              <w:spacing w:before="240" w:after="360" w:line="360" w:lineRule="auto"/>
              <w:rPr>
                <w:rFonts w:ascii="Calibri" w:eastAsia="Times New Roman" w:hAnsi="Calibri" w:cs="Calibri"/>
                <w:color w:val="424242"/>
                <w:kern w:val="0"/>
                <w14:ligatures w14:val="none"/>
              </w:rPr>
            </w:pPr>
            <w:r w:rsidRPr="00E1248B">
              <w:rPr>
                <w:rFonts w:ascii="Calibri" w:hAnsi="Calibri" w:cs="Calibri"/>
                <w:b/>
                <w:bCs/>
              </w:rPr>
              <w:t>Cardiovascular mortality</w:t>
            </w:r>
          </w:p>
        </w:tc>
        <w:tc>
          <w:tcPr>
            <w:tcW w:w="0" w:type="auto"/>
            <w:hideMark/>
          </w:tcPr>
          <w:p w14:paraId="390CE5DA" w14:textId="77777777" w:rsidR="00FC5E9B" w:rsidRPr="00FC5E9B" w:rsidRDefault="00FC5E9B" w:rsidP="00DD5881">
            <w:pPr>
              <w:spacing w:before="240" w:after="360" w:line="360" w:lineRule="auto"/>
              <w:rPr>
                <w:rFonts w:ascii="Calibri" w:eastAsia="Times New Roman" w:hAnsi="Calibri" w:cs="Calibri"/>
                <w:color w:val="424242"/>
                <w:kern w:val="0"/>
                <w14:ligatures w14:val="none"/>
              </w:rPr>
            </w:pPr>
            <w:r w:rsidRPr="00FC5E9B">
              <w:rPr>
                <w:rFonts w:ascii="Calibri" w:eastAsia="Times New Roman" w:hAnsi="Calibri" w:cs="Calibri"/>
                <w:color w:val="424242"/>
                <w:kern w:val="0"/>
                <w14:ligatures w14:val="none"/>
              </w:rPr>
              <w:t>36,905</w:t>
            </w:r>
          </w:p>
        </w:tc>
        <w:tc>
          <w:tcPr>
            <w:tcW w:w="0" w:type="auto"/>
            <w:hideMark/>
          </w:tcPr>
          <w:p w14:paraId="3EDA9DAF" w14:textId="77777777" w:rsidR="00FC5E9B" w:rsidRPr="00FC5E9B" w:rsidRDefault="00FC5E9B" w:rsidP="00DD5881">
            <w:pPr>
              <w:spacing w:before="240" w:after="360" w:line="360" w:lineRule="auto"/>
              <w:rPr>
                <w:rFonts w:ascii="Calibri" w:eastAsia="Times New Roman" w:hAnsi="Calibri" w:cs="Calibri"/>
                <w:color w:val="424242"/>
                <w:kern w:val="0"/>
                <w14:ligatures w14:val="none"/>
              </w:rPr>
            </w:pPr>
            <w:r w:rsidRPr="00FC5E9B">
              <w:rPr>
                <w:rFonts w:ascii="Calibri" w:eastAsia="Times New Roman" w:hAnsi="Calibri" w:cs="Calibri"/>
                <w:color w:val="424242"/>
                <w:kern w:val="0"/>
                <w14:ligatures w14:val="none"/>
              </w:rPr>
              <w:t>504</w:t>
            </w:r>
          </w:p>
        </w:tc>
        <w:tc>
          <w:tcPr>
            <w:tcW w:w="0" w:type="auto"/>
            <w:hideMark/>
          </w:tcPr>
          <w:p w14:paraId="63E012F8" w14:textId="77777777" w:rsidR="00FC5E9B" w:rsidRPr="00FC5E9B" w:rsidRDefault="00FC5E9B" w:rsidP="00DD5881">
            <w:pPr>
              <w:spacing w:before="240" w:after="360" w:line="360" w:lineRule="auto"/>
              <w:rPr>
                <w:rFonts w:ascii="Calibri" w:eastAsia="Times New Roman" w:hAnsi="Calibri" w:cs="Calibri"/>
                <w:color w:val="424242"/>
                <w:kern w:val="0"/>
                <w14:ligatures w14:val="none"/>
              </w:rPr>
            </w:pPr>
            <w:r w:rsidRPr="00FC5E9B">
              <w:rPr>
                <w:rFonts w:ascii="Calibri" w:eastAsia="Times New Roman" w:hAnsi="Calibri" w:cs="Calibri"/>
                <w:color w:val="424242"/>
                <w:kern w:val="0"/>
                <w14:ligatures w14:val="none"/>
              </w:rPr>
              <w:t>98.7%</w:t>
            </w:r>
          </w:p>
        </w:tc>
        <w:tc>
          <w:tcPr>
            <w:tcW w:w="0" w:type="auto"/>
            <w:hideMark/>
          </w:tcPr>
          <w:p w14:paraId="2644B07A" w14:textId="76636EC9" w:rsidR="00FC5E9B" w:rsidRPr="00FC5E9B" w:rsidRDefault="00E4255F" w:rsidP="00DD5881">
            <w:pPr>
              <w:spacing w:before="240" w:after="360" w:line="360" w:lineRule="auto"/>
              <w:rPr>
                <w:rFonts w:ascii="Calibri" w:eastAsia="Times New Roman" w:hAnsi="Calibri" w:cs="Calibri"/>
                <w:kern w:val="0"/>
                <w:sz w:val="20"/>
                <w:szCs w:val="20"/>
                <w14:ligatures w14:val="none"/>
              </w:rPr>
            </w:pPr>
            <w:r w:rsidRPr="00746C26">
              <w:rPr>
                <w:rFonts w:ascii="Calibri" w:hAnsi="Calibri" w:cs="Calibri"/>
                <w:color w:val="424242"/>
                <w:kern w:val="0"/>
                <w14:ligatures w14:val="none"/>
              </w:rPr>
              <w:t>1</w:t>
            </w:r>
            <w:r w:rsidRPr="00FC5E9B">
              <w:rPr>
                <w:rFonts w:ascii="Calibri" w:eastAsia="Times New Roman" w:hAnsi="Calibri" w:cs="Calibri"/>
                <w:color w:val="424242"/>
                <w:kern w:val="0"/>
                <w14:ligatures w14:val="none"/>
              </w:rPr>
              <w:t>.</w:t>
            </w:r>
            <w:r w:rsidRPr="00746C26">
              <w:rPr>
                <w:rFonts w:ascii="Calibri" w:hAnsi="Calibri" w:cs="Calibri"/>
                <w:color w:val="424242"/>
                <w:kern w:val="0"/>
                <w14:ligatures w14:val="none"/>
              </w:rPr>
              <w:t>35</w:t>
            </w:r>
            <w:r w:rsidRPr="00FC5E9B">
              <w:rPr>
                <w:rFonts w:ascii="Calibri" w:eastAsia="Times New Roman" w:hAnsi="Calibri" w:cs="Calibri"/>
                <w:color w:val="424242"/>
                <w:kern w:val="0"/>
                <w14:ligatures w14:val="none"/>
              </w:rPr>
              <w:t>%</w:t>
            </w:r>
          </w:p>
        </w:tc>
      </w:tr>
    </w:tbl>
    <w:p w14:paraId="143070C9" w14:textId="77777777" w:rsidR="00C5710F" w:rsidRPr="00A25A95" w:rsidRDefault="00C5710F" w:rsidP="00DD5881">
      <w:pPr>
        <w:spacing w:line="360" w:lineRule="auto"/>
        <w:rPr>
          <w:rFonts w:ascii="Calibri" w:hAnsi="Calibri" w:cs="Calibri"/>
        </w:rPr>
      </w:pPr>
    </w:p>
    <w:p w14:paraId="75FBE091" w14:textId="7C400B39" w:rsidR="00E525A4" w:rsidRPr="00E525A4" w:rsidRDefault="00E525A4" w:rsidP="00DD5881">
      <w:pPr>
        <w:spacing w:line="360" w:lineRule="auto"/>
        <w:rPr>
          <w:rFonts w:ascii="Calibri" w:hAnsi="Calibri" w:cs="Calibri"/>
        </w:rPr>
      </w:pPr>
      <w:r w:rsidRPr="00E525A4">
        <w:rPr>
          <w:rFonts w:ascii="Calibri" w:hAnsi="Calibri" w:cs="Calibri"/>
        </w:rPr>
        <w:t>Figure</w:t>
      </w:r>
      <w:r w:rsidR="00746C26">
        <w:rPr>
          <w:rFonts w:ascii="Calibri" w:hAnsi="Calibri" w:cs="Calibri" w:hint="eastAsia"/>
        </w:rPr>
        <w:t xml:space="preserve"> 3</w:t>
      </w:r>
      <w:r w:rsidRPr="00E525A4">
        <w:rPr>
          <w:rFonts w:ascii="Calibri" w:hAnsi="Calibri" w:cs="Calibri"/>
        </w:rPr>
        <w:t xml:space="preserve"> shows the annual proportion changes of the opioid</w:t>
      </w:r>
      <w:r w:rsidR="0062655D" w:rsidRPr="00A25A95">
        <w:rPr>
          <w:rFonts w:ascii="Calibri" w:hAnsi="Calibri" w:cs="Calibri"/>
        </w:rPr>
        <w:t xml:space="preserve"> </w:t>
      </w:r>
      <w:r w:rsidRPr="00E525A4">
        <w:rPr>
          <w:rFonts w:ascii="Calibri" w:hAnsi="Calibri" w:cs="Calibri"/>
        </w:rPr>
        <w:t xml:space="preserve">only and </w:t>
      </w:r>
      <w:r w:rsidR="00100CCB" w:rsidRPr="00A25A95">
        <w:rPr>
          <w:rFonts w:ascii="Calibri" w:hAnsi="Calibri" w:cs="Calibri"/>
        </w:rPr>
        <w:t xml:space="preserve">C&amp;O </w:t>
      </w:r>
      <w:r w:rsidR="00100CCB" w:rsidRPr="00E525A4">
        <w:rPr>
          <w:rFonts w:ascii="Calibri" w:hAnsi="Calibri" w:cs="Calibri"/>
        </w:rPr>
        <w:t>dependen</w:t>
      </w:r>
      <w:r w:rsidR="00100CCB" w:rsidRPr="00A25A95">
        <w:rPr>
          <w:rFonts w:ascii="Calibri" w:hAnsi="Calibri" w:cs="Calibri"/>
        </w:rPr>
        <w:t xml:space="preserve">ce </w:t>
      </w:r>
      <w:r w:rsidRPr="00E525A4">
        <w:rPr>
          <w:rFonts w:ascii="Calibri" w:hAnsi="Calibri" w:cs="Calibri"/>
        </w:rPr>
        <w:t xml:space="preserve">groups in the cohort during the years 2015/16 to 2021/22. </w:t>
      </w:r>
      <w:r w:rsidRPr="00A25A95">
        <w:rPr>
          <w:rFonts w:ascii="Calibri" w:hAnsi="Calibri" w:cs="Calibri"/>
        </w:rPr>
        <w:t>Since</w:t>
      </w:r>
      <w:r w:rsidRPr="00E525A4">
        <w:rPr>
          <w:rFonts w:ascii="Calibri" w:hAnsi="Calibri" w:cs="Calibri"/>
        </w:rPr>
        <w:t xml:space="preserve"> 2015/16, the proportion of opioid and cocaine dependence has shown a slight upward trend.</w:t>
      </w:r>
    </w:p>
    <w:p w14:paraId="772A48F3" w14:textId="6A4BF2BB" w:rsidR="00860624" w:rsidRDefault="00860624" w:rsidP="00DD5881">
      <w:pPr>
        <w:spacing w:line="360" w:lineRule="auto"/>
        <w:rPr>
          <w:rFonts w:ascii="Calibri" w:hAnsi="Calibri" w:cs="Calibri"/>
        </w:rPr>
      </w:pPr>
    </w:p>
    <w:p w14:paraId="5CFBACBC" w14:textId="77777777" w:rsidR="00A11031" w:rsidRPr="00E1248B" w:rsidRDefault="00A11031" w:rsidP="00DD5881">
      <w:pPr>
        <w:spacing w:line="360" w:lineRule="auto"/>
        <w:rPr>
          <w:rFonts w:ascii="Calibri" w:hAnsi="Calibri" w:cs="Calibri"/>
        </w:rPr>
      </w:pPr>
    </w:p>
    <w:p w14:paraId="2C3D89CA" w14:textId="4A97D9A3" w:rsidR="00860624" w:rsidRPr="00E1248B" w:rsidRDefault="00860624" w:rsidP="00746C26">
      <w:pPr>
        <w:spacing w:line="360" w:lineRule="auto"/>
        <w:jc w:val="center"/>
        <w:rPr>
          <w:rFonts w:ascii="Calibri" w:hAnsi="Calibri" w:cs="Calibri"/>
          <w:b/>
          <w:bCs/>
        </w:rPr>
      </w:pPr>
      <w:r w:rsidRPr="00E1248B">
        <w:rPr>
          <w:rFonts w:ascii="Calibri" w:hAnsi="Calibri" w:cs="Calibri"/>
          <w:b/>
          <w:bCs/>
        </w:rPr>
        <w:lastRenderedPageBreak/>
        <w:t xml:space="preserve">Figure </w:t>
      </w:r>
      <w:r w:rsidR="00746C26" w:rsidRPr="00746C26">
        <w:rPr>
          <w:rFonts w:ascii="Calibri" w:hAnsi="Calibri" w:cs="Calibri" w:hint="eastAsia"/>
          <w:b/>
          <w:bCs/>
        </w:rPr>
        <w:t>3</w:t>
      </w:r>
      <w:r w:rsidRPr="00E1248B">
        <w:rPr>
          <w:rFonts w:ascii="Calibri" w:hAnsi="Calibri" w:cs="Calibri"/>
          <w:b/>
          <w:bCs/>
        </w:rPr>
        <w:t xml:space="preserve">. </w:t>
      </w:r>
      <w:r w:rsidR="00B62CC5" w:rsidRPr="00746C26">
        <w:rPr>
          <w:rFonts w:ascii="Calibri" w:hAnsi="Calibri" w:cs="Calibri" w:hint="eastAsia"/>
          <w:b/>
          <w:bCs/>
        </w:rPr>
        <w:t>P</w:t>
      </w:r>
      <w:r w:rsidRPr="00E1248B">
        <w:rPr>
          <w:rFonts w:ascii="Calibri" w:hAnsi="Calibri" w:cs="Calibri"/>
          <w:b/>
          <w:bCs/>
        </w:rPr>
        <w:t xml:space="preserve">roportion of </w:t>
      </w:r>
      <w:r w:rsidR="00A7757C" w:rsidRPr="00746C26">
        <w:rPr>
          <w:rFonts w:ascii="Calibri" w:hAnsi="Calibri" w:cs="Calibri" w:hint="eastAsia"/>
          <w:b/>
          <w:bCs/>
        </w:rPr>
        <w:t>O</w:t>
      </w:r>
      <w:r w:rsidRPr="00E1248B">
        <w:rPr>
          <w:rFonts w:ascii="Calibri" w:hAnsi="Calibri" w:cs="Calibri"/>
          <w:b/>
          <w:bCs/>
        </w:rPr>
        <w:t>pioid</w:t>
      </w:r>
      <w:r w:rsidR="00010B27" w:rsidRPr="00746C26">
        <w:rPr>
          <w:rFonts w:ascii="Calibri" w:hAnsi="Calibri" w:cs="Calibri" w:hint="eastAsia"/>
          <w:b/>
          <w:bCs/>
        </w:rPr>
        <w:t xml:space="preserve"> </w:t>
      </w:r>
      <w:r w:rsidR="00A7757C" w:rsidRPr="00746C26">
        <w:rPr>
          <w:rFonts w:ascii="Calibri" w:hAnsi="Calibri" w:cs="Calibri" w:hint="eastAsia"/>
          <w:b/>
          <w:bCs/>
        </w:rPr>
        <w:t>D</w:t>
      </w:r>
      <w:r w:rsidR="00010B27" w:rsidRPr="00E525A4">
        <w:rPr>
          <w:rFonts w:ascii="Calibri" w:hAnsi="Calibri" w:cs="Calibri"/>
          <w:b/>
          <w:bCs/>
        </w:rPr>
        <w:t>ependent</w:t>
      </w:r>
      <w:r w:rsidR="00010B27" w:rsidRPr="00746C26">
        <w:rPr>
          <w:rFonts w:ascii="Calibri" w:hAnsi="Calibri" w:cs="Calibri" w:hint="eastAsia"/>
          <w:b/>
          <w:bCs/>
        </w:rPr>
        <w:t xml:space="preserve"> </w:t>
      </w:r>
      <w:r w:rsidR="00A7757C" w:rsidRPr="00746C26">
        <w:rPr>
          <w:rFonts w:ascii="Calibri" w:hAnsi="Calibri" w:cs="Calibri" w:hint="eastAsia"/>
          <w:b/>
          <w:bCs/>
        </w:rPr>
        <w:t>I</w:t>
      </w:r>
      <w:r w:rsidR="00010B27" w:rsidRPr="00746C26">
        <w:rPr>
          <w:rFonts w:ascii="Calibri" w:hAnsi="Calibri" w:cs="Calibri" w:hint="eastAsia"/>
          <w:b/>
          <w:bCs/>
        </w:rPr>
        <w:t>n</w:t>
      </w:r>
      <w:r w:rsidR="00A7757C" w:rsidRPr="00746C26">
        <w:rPr>
          <w:rFonts w:ascii="Calibri" w:hAnsi="Calibri" w:cs="Calibri" w:hint="eastAsia"/>
          <w:b/>
          <w:bCs/>
        </w:rPr>
        <w:t>dividuals by Exposure Type</w:t>
      </w:r>
    </w:p>
    <w:p w14:paraId="6274F0AE" w14:textId="370A76F5" w:rsidR="00A15F93" w:rsidRPr="00A15F93" w:rsidRDefault="00A15F93" w:rsidP="00746C26">
      <w:pPr>
        <w:spacing w:line="360" w:lineRule="auto"/>
        <w:jc w:val="center"/>
        <w:rPr>
          <w:rFonts w:ascii="Calibri" w:hAnsi="Calibri" w:cs="Calibri"/>
        </w:rPr>
      </w:pPr>
      <w:r w:rsidRPr="00A15F93">
        <w:rPr>
          <w:rFonts w:ascii="Calibri" w:hAnsi="Calibri" w:cs="Calibri"/>
          <w:noProof/>
        </w:rPr>
        <w:drawing>
          <wp:inline distT="0" distB="0" distL="0" distR="0" wp14:anchorId="28370985" wp14:editId="727A2805">
            <wp:extent cx="4691576" cy="4520047"/>
            <wp:effectExtent l="0" t="0" r="0" b="0"/>
            <wp:docPr id="244583577" name="Picture 8" descr="A graph of blue and yellow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83577" name="Picture 8" descr="A graph of blue and yellow bar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5164" cy="4533138"/>
                    </a:xfrm>
                    <a:prstGeom prst="rect">
                      <a:avLst/>
                    </a:prstGeom>
                    <a:noFill/>
                    <a:ln>
                      <a:noFill/>
                    </a:ln>
                  </pic:spPr>
                </pic:pic>
              </a:graphicData>
            </a:graphic>
          </wp:inline>
        </w:drawing>
      </w:r>
    </w:p>
    <w:p w14:paraId="4FDBD96E" w14:textId="04E2F507" w:rsidR="00860624" w:rsidRPr="00E1248B" w:rsidRDefault="00860624" w:rsidP="00DD5881">
      <w:pPr>
        <w:spacing w:line="360" w:lineRule="auto"/>
        <w:rPr>
          <w:rFonts w:ascii="Calibri" w:hAnsi="Calibri" w:cs="Calibri"/>
        </w:rPr>
      </w:pPr>
    </w:p>
    <w:p w14:paraId="40314301" w14:textId="77777777" w:rsidR="00860624" w:rsidRPr="00E1248B" w:rsidRDefault="00860624" w:rsidP="00DD5881">
      <w:pPr>
        <w:spacing w:line="360" w:lineRule="auto"/>
        <w:rPr>
          <w:rFonts w:ascii="Calibri" w:hAnsi="Calibri" w:cs="Calibri"/>
          <w:i/>
          <w:iCs/>
        </w:rPr>
      </w:pPr>
      <w:r w:rsidRPr="00E1248B">
        <w:rPr>
          <w:rFonts w:ascii="Calibri" w:hAnsi="Calibri" w:cs="Calibri"/>
          <w:i/>
          <w:iCs/>
        </w:rPr>
        <w:t>Crude Rates of Outcomes</w:t>
      </w:r>
    </w:p>
    <w:p w14:paraId="51EC44D3" w14:textId="66E3DB98" w:rsidR="00D16C2C" w:rsidRPr="00D16C2C" w:rsidRDefault="00D16C2C" w:rsidP="00D16C2C">
      <w:pPr>
        <w:spacing w:line="360" w:lineRule="auto"/>
        <w:rPr>
          <w:rFonts w:ascii="Calibri" w:hAnsi="Calibri" w:cs="Calibri"/>
        </w:rPr>
      </w:pPr>
      <w:r w:rsidRPr="00D16C2C">
        <w:rPr>
          <w:rFonts w:ascii="Calibri" w:hAnsi="Calibri" w:cs="Calibri"/>
        </w:rPr>
        <w:t xml:space="preserve">Crude event rates varied over time and between exposure groups (Figures </w:t>
      </w:r>
      <w:r>
        <w:rPr>
          <w:rFonts w:ascii="Calibri" w:hAnsi="Calibri" w:cs="Calibri" w:hint="eastAsia"/>
        </w:rPr>
        <w:t>4</w:t>
      </w:r>
      <w:r w:rsidRPr="00D16C2C">
        <w:rPr>
          <w:rFonts w:ascii="Calibri" w:hAnsi="Calibri" w:cs="Calibri"/>
        </w:rPr>
        <w:t xml:space="preserve">). For drug-related deaths (DRD), individuals in the opioid-only group experienced a steady increase in rates from 2015, peaking in 2020 at just over 20 per 1,000 person-years, followed by a modest decline. </w:t>
      </w:r>
      <w:r w:rsidR="009E054B" w:rsidRPr="009E054B">
        <w:rPr>
          <w:rFonts w:ascii="Calibri" w:hAnsi="Calibri" w:cs="Calibri"/>
        </w:rPr>
        <w:t>In contrast, the initial DRD rate of the cocaine exposure group was lower, but it rose sharply in 2020, surpassing that of the opioid group, and then declined in the following years.</w:t>
      </w:r>
    </w:p>
    <w:p w14:paraId="7019339B" w14:textId="690D10A2" w:rsidR="00D16C2C" w:rsidRPr="00D16C2C" w:rsidRDefault="00D16C2C" w:rsidP="00D16C2C">
      <w:pPr>
        <w:spacing w:line="360" w:lineRule="auto"/>
        <w:rPr>
          <w:rFonts w:ascii="Calibri" w:hAnsi="Calibri" w:cs="Calibri"/>
        </w:rPr>
      </w:pPr>
      <w:r w:rsidRPr="00D16C2C">
        <w:rPr>
          <w:rFonts w:ascii="Calibri" w:hAnsi="Calibri" w:cs="Calibri"/>
        </w:rPr>
        <w:t xml:space="preserve">For all-cause mortality (ACM), rates increased in both groups throughout the study period. Opioid-only </w:t>
      </w:r>
      <w:r w:rsidR="00010D83" w:rsidRPr="00AF6853">
        <w:rPr>
          <w:rFonts w:ascii="Calibri" w:hAnsi="Calibri" w:cs="Calibri"/>
        </w:rPr>
        <w:t>dependence</w:t>
      </w:r>
      <w:r w:rsidR="00010D83" w:rsidRPr="00D16C2C">
        <w:rPr>
          <w:rFonts w:ascii="Calibri" w:hAnsi="Calibri" w:cs="Calibri"/>
        </w:rPr>
        <w:t xml:space="preserve"> </w:t>
      </w:r>
      <w:r w:rsidRPr="00D16C2C">
        <w:rPr>
          <w:rFonts w:ascii="Calibri" w:hAnsi="Calibri" w:cs="Calibri"/>
        </w:rPr>
        <w:t>consistently showed slightly higher mortality rates until 2020, after which the gap between the two groups narrowed.</w:t>
      </w:r>
    </w:p>
    <w:p w14:paraId="11DDC32A" w14:textId="40E8EC5B" w:rsidR="00D16C2C" w:rsidRPr="00D16C2C" w:rsidRDefault="00EC2C44" w:rsidP="00D16C2C">
      <w:pPr>
        <w:spacing w:line="360" w:lineRule="auto"/>
        <w:rPr>
          <w:rFonts w:ascii="Calibri" w:hAnsi="Calibri" w:cs="Calibri"/>
        </w:rPr>
      </w:pPr>
      <w:r w:rsidRPr="00EC2C44">
        <w:rPr>
          <w:rFonts w:ascii="Calibri" w:hAnsi="Calibri" w:cs="Calibri"/>
        </w:rPr>
        <w:lastRenderedPageBreak/>
        <w:t>In terms of non-fatal overdose (NFOD), the rate of cocaine exposure has always been significantly higher</w:t>
      </w:r>
      <w:r>
        <w:rPr>
          <w:rFonts w:ascii="Calibri" w:hAnsi="Calibri" w:cs="Calibri" w:hint="eastAsia"/>
        </w:rPr>
        <w:t xml:space="preserve"> </w:t>
      </w:r>
      <w:r w:rsidR="00D16C2C" w:rsidRPr="00D16C2C">
        <w:rPr>
          <w:rFonts w:ascii="Calibri" w:hAnsi="Calibri" w:cs="Calibri"/>
        </w:rPr>
        <w:t xml:space="preserve">than opioid-only </w:t>
      </w:r>
      <w:r w:rsidR="00010D83" w:rsidRPr="00AF6853">
        <w:rPr>
          <w:rFonts w:ascii="Calibri" w:hAnsi="Calibri" w:cs="Calibri"/>
        </w:rPr>
        <w:t>dependence</w:t>
      </w:r>
      <w:r w:rsidR="00D16C2C" w:rsidRPr="00D16C2C">
        <w:rPr>
          <w:rFonts w:ascii="Calibri" w:hAnsi="Calibri" w:cs="Calibri"/>
        </w:rPr>
        <w:t>. NFOD rates peaked at over 125 per 1,000 person-years in 2019 among the exposed group, then declined slightly but remained elevated throughout the remaining years.</w:t>
      </w:r>
    </w:p>
    <w:p w14:paraId="0394CD7F" w14:textId="2650A238" w:rsidR="00D16C2C" w:rsidRPr="00D16C2C" w:rsidRDefault="00D16C2C" w:rsidP="00D16C2C">
      <w:pPr>
        <w:spacing w:line="360" w:lineRule="auto"/>
        <w:rPr>
          <w:rFonts w:ascii="Calibri" w:hAnsi="Calibri" w:cs="Calibri"/>
        </w:rPr>
      </w:pPr>
      <w:r w:rsidRPr="00D16C2C">
        <w:rPr>
          <w:rFonts w:ascii="Calibri" w:hAnsi="Calibri" w:cs="Calibri"/>
        </w:rPr>
        <w:t xml:space="preserve">Lastly, cardiovascular mortality (CVD) showed a </w:t>
      </w:r>
      <w:r w:rsidR="004B5D68" w:rsidRPr="004B5D68">
        <w:rPr>
          <w:rFonts w:ascii="Calibri" w:hAnsi="Calibri" w:cs="Calibri"/>
        </w:rPr>
        <w:t>overall</w:t>
      </w:r>
      <w:r w:rsidR="004B5D68">
        <w:rPr>
          <w:rFonts w:ascii="Calibri" w:hAnsi="Calibri" w:cs="Calibri" w:hint="eastAsia"/>
        </w:rPr>
        <w:t xml:space="preserve"> </w:t>
      </w:r>
      <w:r w:rsidRPr="00D16C2C">
        <w:rPr>
          <w:rFonts w:ascii="Calibri" w:hAnsi="Calibri" w:cs="Calibri"/>
        </w:rPr>
        <w:t xml:space="preserve">downward trend in both groups. </w:t>
      </w:r>
      <w:r w:rsidR="00C12E4A" w:rsidRPr="00C12E4A">
        <w:rPr>
          <w:rFonts w:ascii="Calibri" w:hAnsi="Calibri" w:cs="Calibri"/>
        </w:rPr>
        <w:t xml:space="preserve">However, compared with </w:t>
      </w:r>
      <w:r w:rsidR="00C12E4A" w:rsidRPr="00A25A95">
        <w:rPr>
          <w:rFonts w:ascii="Calibri" w:hAnsi="Calibri" w:cs="Calibri"/>
        </w:rPr>
        <w:t xml:space="preserve">C&amp;O </w:t>
      </w:r>
      <w:r w:rsidR="00C12E4A" w:rsidRPr="00E525A4">
        <w:rPr>
          <w:rFonts w:ascii="Calibri" w:hAnsi="Calibri" w:cs="Calibri"/>
        </w:rPr>
        <w:t>dependen</w:t>
      </w:r>
      <w:r w:rsidR="00C12E4A" w:rsidRPr="00A25A95">
        <w:rPr>
          <w:rFonts w:ascii="Calibri" w:hAnsi="Calibri" w:cs="Calibri"/>
        </w:rPr>
        <w:t xml:space="preserve">ce </w:t>
      </w:r>
      <w:r w:rsidR="00C12E4A" w:rsidRPr="00E525A4">
        <w:rPr>
          <w:rFonts w:ascii="Calibri" w:hAnsi="Calibri" w:cs="Calibri"/>
        </w:rPr>
        <w:t>group</w:t>
      </w:r>
      <w:r w:rsidR="00C12E4A" w:rsidRPr="00C12E4A">
        <w:rPr>
          <w:rFonts w:ascii="Calibri" w:hAnsi="Calibri" w:cs="Calibri"/>
        </w:rPr>
        <w:t xml:space="preserve">, </w:t>
      </w:r>
      <w:r w:rsidR="00787BB3">
        <w:rPr>
          <w:rFonts w:ascii="Calibri" w:hAnsi="Calibri" w:cs="Calibri" w:hint="eastAsia"/>
        </w:rPr>
        <w:t>t</w:t>
      </w:r>
      <w:r w:rsidR="00787BB3" w:rsidRPr="00787BB3">
        <w:rPr>
          <w:rFonts w:ascii="Calibri" w:hAnsi="Calibri" w:cs="Calibri"/>
        </w:rPr>
        <w:t xml:space="preserve">he mortality rate of cardiovascular diseases in the opioid </w:t>
      </w:r>
      <w:r w:rsidR="00787BB3">
        <w:rPr>
          <w:rFonts w:ascii="Calibri" w:hAnsi="Calibri" w:cs="Calibri" w:hint="eastAsia"/>
        </w:rPr>
        <w:t xml:space="preserve">only </w:t>
      </w:r>
      <w:r w:rsidR="00787BB3" w:rsidRPr="00787BB3">
        <w:rPr>
          <w:rFonts w:ascii="Calibri" w:hAnsi="Calibri" w:cs="Calibri"/>
        </w:rPr>
        <w:t>group has always been relatively high.</w:t>
      </w:r>
    </w:p>
    <w:p w14:paraId="3B6BCFBE" w14:textId="7BB6A7ED" w:rsidR="00651BDB" w:rsidRPr="00E1248B" w:rsidRDefault="00651BDB" w:rsidP="007D54A9">
      <w:pPr>
        <w:spacing w:line="360" w:lineRule="auto"/>
        <w:ind w:left="720"/>
        <w:rPr>
          <w:rFonts w:ascii="Calibri" w:hAnsi="Calibri" w:cs="Calibri"/>
        </w:rPr>
      </w:pPr>
    </w:p>
    <w:p w14:paraId="43143886" w14:textId="4786C38E" w:rsidR="009B73F1" w:rsidRPr="007D54A9" w:rsidRDefault="00860624" w:rsidP="007D54A9">
      <w:pPr>
        <w:spacing w:line="360" w:lineRule="auto"/>
        <w:jc w:val="center"/>
        <w:rPr>
          <w:rFonts w:ascii="Calibri" w:hAnsi="Calibri" w:cs="Calibri"/>
          <w:b/>
          <w:bCs/>
        </w:rPr>
      </w:pPr>
      <w:r w:rsidRPr="00E1248B">
        <w:rPr>
          <w:rFonts w:ascii="Calibri" w:hAnsi="Calibri" w:cs="Calibri"/>
          <w:b/>
          <w:bCs/>
        </w:rPr>
        <w:t xml:space="preserve">Figure </w:t>
      </w:r>
      <w:r w:rsidR="00EF2433">
        <w:rPr>
          <w:rFonts w:ascii="Calibri" w:hAnsi="Calibri" w:cs="Calibri" w:hint="eastAsia"/>
          <w:b/>
          <w:bCs/>
        </w:rPr>
        <w:t>4</w:t>
      </w:r>
      <w:r w:rsidRPr="00E1248B">
        <w:rPr>
          <w:rFonts w:ascii="Calibri" w:hAnsi="Calibri" w:cs="Calibri"/>
          <w:b/>
          <w:bCs/>
        </w:rPr>
        <w:t xml:space="preserve">. </w:t>
      </w:r>
      <w:r w:rsidR="007D54A9" w:rsidRPr="007D54A9">
        <w:rPr>
          <w:rFonts w:ascii="Calibri" w:hAnsi="Calibri" w:cs="Calibri"/>
          <w:b/>
          <w:bCs/>
        </w:rPr>
        <w:t>Crude Outcome Rates by Exposure Type (2015-2022)</w:t>
      </w:r>
    </w:p>
    <w:p w14:paraId="69B92380" w14:textId="285EF89F" w:rsidR="00CD485B" w:rsidRPr="00CD485B" w:rsidRDefault="0022574E" w:rsidP="00787BB3">
      <w:pPr>
        <w:spacing w:line="360" w:lineRule="auto"/>
        <w:jc w:val="center"/>
        <w:rPr>
          <w:rFonts w:ascii="Calibri" w:hAnsi="Calibri" w:cs="Calibri"/>
        </w:rPr>
      </w:pPr>
      <w:r w:rsidRPr="0022574E">
        <w:rPr>
          <w:rFonts w:ascii="Calibri" w:hAnsi="Calibri" w:cs="Calibri"/>
          <w:noProof/>
        </w:rPr>
        <w:drawing>
          <wp:inline distT="0" distB="0" distL="0" distR="0" wp14:anchorId="70C72F90" wp14:editId="4F468EA0">
            <wp:extent cx="5731510" cy="5521960"/>
            <wp:effectExtent l="0" t="0" r="2540" b="2540"/>
            <wp:docPr id="147737124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521960"/>
                    </a:xfrm>
                    <a:prstGeom prst="rect">
                      <a:avLst/>
                    </a:prstGeom>
                    <a:noFill/>
                    <a:ln>
                      <a:noFill/>
                    </a:ln>
                  </pic:spPr>
                </pic:pic>
              </a:graphicData>
            </a:graphic>
          </wp:inline>
        </w:drawing>
      </w:r>
    </w:p>
    <w:p w14:paraId="56988ACC" w14:textId="77777777" w:rsidR="00A11031" w:rsidRPr="00E1248B" w:rsidRDefault="00A11031" w:rsidP="00DD5881">
      <w:pPr>
        <w:spacing w:line="360" w:lineRule="auto"/>
        <w:rPr>
          <w:rFonts w:ascii="Calibri" w:hAnsi="Calibri" w:cs="Calibri"/>
        </w:rPr>
      </w:pPr>
    </w:p>
    <w:p w14:paraId="1C7FBE48" w14:textId="6BAB8B41" w:rsidR="00787BB3" w:rsidRPr="00B16480" w:rsidRDefault="00860624" w:rsidP="00DD5881">
      <w:pPr>
        <w:spacing w:line="360" w:lineRule="auto"/>
        <w:rPr>
          <w:rFonts w:ascii="Calibri" w:hAnsi="Calibri" w:cs="Calibri"/>
          <w:i/>
          <w:iCs/>
        </w:rPr>
      </w:pPr>
      <w:r w:rsidRPr="00E1248B">
        <w:rPr>
          <w:rFonts w:ascii="Calibri" w:hAnsi="Calibri" w:cs="Calibri"/>
          <w:i/>
          <w:iCs/>
        </w:rPr>
        <w:lastRenderedPageBreak/>
        <w:t>Regression Analyses</w:t>
      </w:r>
    </w:p>
    <w:p w14:paraId="7F387305" w14:textId="332AEE0E" w:rsidR="00787BB3" w:rsidRPr="00E1248B" w:rsidRDefault="00860624" w:rsidP="00DD5881">
      <w:pPr>
        <w:spacing w:line="360" w:lineRule="auto"/>
        <w:rPr>
          <w:rFonts w:ascii="Calibri" w:hAnsi="Calibri" w:cs="Calibri"/>
        </w:rPr>
      </w:pPr>
      <w:r w:rsidRPr="00E1248B">
        <w:rPr>
          <w:rFonts w:ascii="Calibri" w:hAnsi="Calibri" w:cs="Calibri"/>
        </w:rPr>
        <w:t xml:space="preserve">In unadjusted models, C&amp;O </w:t>
      </w:r>
      <w:r w:rsidR="00010D83" w:rsidRPr="00AF6853">
        <w:rPr>
          <w:rFonts w:ascii="Calibri" w:hAnsi="Calibri" w:cs="Calibri"/>
        </w:rPr>
        <w:t>dependence</w:t>
      </w:r>
      <w:r w:rsidR="00010D83" w:rsidRPr="00E1248B">
        <w:rPr>
          <w:rFonts w:ascii="Calibri" w:hAnsi="Calibri" w:cs="Calibri"/>
        </w:rPr>
        <w:t xml:space="preserve"> </w:t>
      </w:r>
      <w:r w:rsidRPr="00E1248B">
        <w:rPr>
          <w:rFonts w:ascii="Calibri" w:hAnsi="Calibri" w:cs="Calibri"/>
        </w:rPr>
        <w:t xml:space="preserve">had lower DRD rates compared with opioid-only </w:t>
      </w:r>
      <w:r w:rsidR="00010D83" w:rsidRPr="00AF6853">
        <w:rPr>
          <w:rFonts w:ascii="Calibri" w:hAnsi="Calibri" w:cs="Calibri"/>
        </w:rPr>
        <w:t>dependence</w:t>
      </w:r>
      <w:r w:rsidR="00010D83" w:rsidRPr="00E1248B">
        <w:rPr>
          <w:rFonts w:ascii="Calibri" w:hAnsi="Calibri" w:cs="Calibri"/>
        </w:rPr>
        <w:t xml:space="preserve"> </w:t>
      </w:r>
      <w:r w:rsidRPr="00E1248B">
        <w:rPr>
          <w:rFonts w:ascii="Calibri" w:hAnsi="Calibri" w:cs="Calibri"/>
        </w:rPr>
        <w:t>(</w:t>
      </w:r>
      <w:r w:rsidR="003755C6">
        <w:rPr>
          <w:rFonts w:ascii="Calibri" w:hAnsi="Calibri" w:cs="Calibri" w:hint="eastAsia"/>
        </w:rPr>
        <w:t>I</w:t>
      </w:r>
      <w:r w:rsidRPr="00E1248B">
        <w:rPr>
          <w:rFonts w:ascii="Calibri" w:hAnsi="Calibri" w:cs="Calibri"/>
        </w:rPr>
        <w:t>RR = 0.91, 95% CI 0.84–0.99). After adjustment for age, sex, year, NHS board, and accommodation</w:t>
      </w:r>
      <w:r w:rsidR="00B16480" w:rsidRPr="00B16480">
        <w:rPr>
          <w:rFonts w:ascii="Times New Roman" w:eastAsia="Times New Roman" w:hAnsi="Times New Roman" w:cs="Times New Roman"/>
          <w:kern w:val="0"/>
          <w14:ligatures w14:val="none"/>
        </w:rPr>
        <w:t xml:space="preserve"> </w:t>
      </w:r>
      <w:r w:rsidR="00B16480" w:rsidRPr="00B16480">
        <w:rPr>
          <w:rFonts w:ascii="Calibri" w:hAnsi="Calibri" w:cs="Calibri"/>
        </w:rPr>
        <w:t>status</w:t>
      </w:r>
      <w:r w:rsidRPr="00E1248B">
        <w:rPr>
          <w:rFonts w:ascii="Calibri" w:hAnsi="Calibri" w:cs="Calibri"/>
        </w:rPr>
        <w:t>, the association attenuated and was not statistically significant (</w:t>
      </w:r>
      <w:r w:rsidR="003647D3">
        <w:rPr>
          <w:rFonts w:ascii="Calibri" w:hAnsi="Calibri" w:cs="Calibri" w:hint="eastAsia"/>
        </w:rPr>
        <w:t>I</w:t>
      </w:r>
      <w:r w:rsidRPr="00E1248B">
        <w:rPr>
          <w:rFonts w:ascii="Calibri" w:hAnsi="Calibri" w:cs="Calibri"/>
        </w:rPr>
        <w:t xml:space="preserve">RR = 0.99, 95% CI 0.91–1.08). Higher DRD risk was observed among older participants (50–64 years: </w:t>
      </w:r>
      <w:r w:rsidR="00DD532E">
        <w:rPr>
          <w:rFonts w:ascii="Calibri" w:hAnsi="Calibri" w:cs="Calibri" w:hint="eastAsia"/>
        </w:rPr>
        <w:t>I</w:t>
      </w:r>
      <w:r w:rsidRPr="00E1248B">
        <w:rPr>
          <w:rFonts w:ascii="Calibri" w:hAnsi="Calibri" w:cs="Calibri"/>
        </w:rPr>
        <w:t>RR = 1.60, 95% CI 1.41–1.81), residents of Tayside (</w:t>
      </w:r>
      <w:r w:rsidR="00DD532E">
        <w:rPr>
          <w:rFonts w:ascii="Calibri" w:hAnsi="Calibri" w:cs="Calibri" w:hint="eastAsia"/>
        </w:rPr>
        <w:t>I</w:t>
      </w:r>
      <w:r w:rsidRPr="00E1248B">
        <w:rPr>
          <w:rFonts w:ascii="Calibri" w:hAnsi="Calibri" w:cs="Calibri"/>
        </w:rPr>
        <w:t>RR = 1.18, 95% CI 1.03–1.34), and those who were homeless or had missing accommodation data.</w:t>
      </w:r>
      <w:r w:rsidR="00286607">
        <w:rPr>
          <w:rFonts w:ascii="Calibri" w:hAnsi="Calibri" w:cs="Calibri" w:hint="eastAsia"/>
        </w:rPr>
        <w:t xml:space="preserve"> </w:t>
      </w:r>
      <w:r w:rsidR="00286607" w:rsidRPr="00286607">
        <w:rPr>
          <w:rFonts w:ascii="Calibri" w:hAnsi="Calibri" w:cs="Calibri"/>
        </w:rPr>
        <w:t xml:space="preserve">DRD rates also rose </w:t>
      </w:r>
      <w:r w:rsidR="00286607">
        <w:rPr>
          <w:rFonts w:ascii="Calibri" w:hAnsi="Calibri" w:cs="Calibri" w:hint="eastAsia"/>
        </w:rPr>
        <w:t xml:space="preserve">almost </w:t>
      </w:r>
      <w:r w:rsidR="00286607" w:rsidRPr="00286607">
        <w:rPr>
          <w:rFonts w:ascii="Calibri" w:hAnsi="Calibri" w:cs="Calibri"/>
        </w:rPr>
        <w:t>monotonically across calendar years, from 1.51-fold in 2016 to 2.34-fold in 2022 relative to 2015</w:t>
      </w:r>
      <w:r w:rsidR="00286607">
        <w:rPr>
          <w:rFonts w:ascii="Calibri" w:hAnsi="Calibri" w:cs="Calibri" w:hint="eastAsia"/>
        </w:rPr>
        <w:t xml:space="preserve"> </w:t>
      </w:r>
      <w:r w:rsidR="00286607" w:rsidRPr="00455369">
        <w:rPr>
          <w:rFonts w:ascii="Calibri" w:hAnsi="Calibri" w:cs="Calibri"/>
        </w:rPr>
        <w:t>(</w:t>
      </w:r>
      <w:r w:rsidR="00286607">
        <w:rPr>
          <w:rFonts w:ascii="Calibri" w:hAnsi="Calibri" w:cs="Calibri" w:hint="eastAsia"/>
        </w:rPr>
        <w:t>2016</w:t>
      </w:r>
      <w:r w:rsidR="00286607" w:rsidRPr="00E1248B">
        <w:rPr>
          <w:rFonts w:ascii="Calibri" w:hAnsi="Calibri" w:cs="Calibri"/>
        </w:rPr>
        <w:t xml:space="preserve">: </w:t>
      </w:r>
      <w:r w:rsidR="00286607">
        <w:rPr>
          <w:rFonts w:ascii="Calibri" w:hAnsi="Calibri" w:cs="Calibri" w:hint="eastAsia"/>
        </w:rPr>
        <w:t>I</w:t>
      </w:r>
      <w:r w:rsidR="00286607" w:rsidRPr="00455369">
        <w:rPr>
          <w:rFonts w:ascii="Calibri" w:hAnsi="Calibri" w:cs="Calibri"/>
        </w:rPr>
        <w:t xml:space="preserve">RR = </w:t>
      </w:r>
      <w:r w:rsidR="00286607">
        <w:rPr>
          <w:rFonts w:ascii="Calibri" w:hAnsi="Calibri" w:cs="Calibri" w:hint="eastAsia"/>
        </w:rPr>
        <w:t>1.51</w:t>
      </w:r>
      <w:r w:rsidR="00286607" w:rsidRPr="00455369">
        <w:rPr>
          <w:rFonts w:ascii="Calibri" w:hAnsi="Calibri" w:cs="Calibri"/>
        </w:rPr>
        <w:t xml:space="preserve">, 95% CI </w:t>
      </w:r>
      <w:r w:rsidR="00286607">
        <w:rPr>
          <w:rFonts w:ascii="Calibri" w:hAnsi="Calibri" w:cs="Calibri" w:hint="eastAsia"/>
        </w:rPr>
        <w:t>1.26</w:t>
      </w:r>
      <w:r w:rsidR="00286607" w:rsidRPr="00455369">
        <w:rPr>
          <w:rFonts w:ascii="Calibri" w:hAnsi="Calibri" w:cs="Calibri"/>
        </w:rPr>
        <w:t>–</w:t>
      </w:r>
      <w:r w:rsidR="00286607">
        <w:rPr>
          <w:rFonts w:ascii="Calibri" w:hAnsi="Calibri" w:cs="Calibri" w:hint="eastAsia"/>
        </w:rPr>
        <w:t>1.82</w:t>
      </w:r>
      <w:r w:rsidR="00286607" w:rsidRPr="00455369">
        <w:rPr>
          <w:rFonts w:ascii="Calibri" w:hAnsi="Calibri" w:cs="Calibri"/>
        </w:rPr>
        <w:t xml:space="preserve">; </w:t>
      </w:r>
      <w:r w:rsidR="00286607">
        <w:rPr>
          <w:rFonts w:ascii="Calibri" w:hAnsi="Calibri" w:cs="Calibri" w:hint="eastAsia"/>
        </w:rPr>
        <w:t>2022:</w:t>
      </w:r>
      <w:r w:rsidR="00286607" w:rsidRPr="00455369">
        <w:rPr>
          <w:rFonts w:ascii="Calibri" w:hAnsi="Calibri" w:cs="Calibri"/>
        </w:rPr>
        <w:t xml:space="preserve"> </w:t>
      </w:r>
      <w:r w:rsidR="00286607">
        <w:rPr>
          <w:rFonts w:ascii="Calibri" w:hAnsi="Calibri" w:cs="Calibri" w:hint="eastAsia"/>
        </w:rPr>
        <w:t>I</w:t>
      </w:r>
      <w:r w:rsidR="00286607" w:rsidRPr="00455369">
        <w:rPr>
          <w:rFonts w:ascii="Calibri" w:hAnsi="Calibri" w:cs="Calibri"/>
        </w:rPr>
        <w:t>RR = 2</w:t>
      </w:r>
      <w:r w:rsidR="00286607">
        <w:rPr>
          <w:rFonts w:ascii="Calibri" w:hAnsi="Calibri" w:cs="Calibri" w:hint="eastAsia"/>
        </w:rPr>
        <w:t>.34</w:t>
      </w:r>
      <w:r w:rsidR="00286607" w:rsidRPr="00455369">
        <w:rPr>
          <w:rFonts w:ascii="Calibri" w:hAnsi="Calibri" w:cs="Calibri"/>
        </w:rPr>
        <w:t xml:space="preserve">, 95% CI </w:t>
      </w:r>
      <w:r w:rsidR="00286607">
        <w:rPr>
          <w:rFonts w:ascii="Calibri" w:hAnsi="Calibri" w:cs="Calibri" w:hint="eastAsia"/>
        </w:rPr>
        <w:t>1.98</w:t>
      </w:r>
      <w:r w:rsidR="00286607" w:rsidRPr="00455369">
        <w:rPr>
          <w:rFonts w:ascii="Calibri" w:hAnsi="Calibri" w:cs="Calibri"/>
        </w:rPr>
        <w:t>–</w:t>
      </w:r>
      <w:r w:rsidR="00286607">
        <w:rPr>
          <w:rFonts w:ascii="Calibri" w:hAnsi="Calibri" w:cs="Calibri" w:hint="eastAsia"/>
        </w:rPr>
        <w:t>2</w:t>
      </w:r>
      <w:r w:rsidR="00286607" w:rsidRPr="00455369">
        <w:rPr>
          <w:rFonts w:ascii="Calibri" w:hAnsi="Calibri" w:cs="Calibri"/>
        </w:rPr>
        <w:t>.</w:t>
      </w:r>
      <w:r w:rsidR="00286607">
        <w:rPr>
          <w:rFonts w:ascii="Calibri" w:hAnsi="Calibri" w:cs="Calibri" w:hint="eastAsia"/>
        </w:rPr>
        <w:t>79</w:t>
      </w:r>
      <w:r w:rsidR="00286607" w:rsidRPr="00455369">
        <w:rPr>
          <w:rFonts w:ascii="Calibri" w:hAnsi="Calibri" w:cs="Calibri"/>
        </w:rPr>
        <w:t>, respectively)</w:t>
      </w:r>
      <w:r w:rsidR="00286607" w:rsidRPr="00286607">
        <w:rPr>
          <w:rFonts w:ascii="Calibri" w:hAnsi="Calibri" w:cs="Calibri"/>
          <w:i/>
          <w:iCs/>
        </w:rPr>
        <w:t>.</w:t>
      </w:r>
      <w:r w:rsidRPr="00E1248B">
        <w:rPr>
          <w:rFonts w:ascii="Calibri" w:hAnsi="Calibri" w:cs="Calibri"/>
        </w:rPr>
        <w:t xml:space="preserve"> No significant interaction between age and sex was detected (</w:t>
      </w:r>
      <w:r w:rsidRPr="00E1248B">
        <w:rPr>
          <w:rFonts w:ascii="Calibri" w:hAnsi="Calibri" w:cs="Calibri"/>
          <w:i/>
          <w:iCs/>
        </w:rPr>
        <w:t>p</w:t>
      </w:r>
      <w:r w:rsidRPr="00E1248B">
        <w:rPr>
          <w:rFonts w:ascii="Calibri" w:hAnsi="Calibri" w:cs="Calibri"/>
        </w:rPr>
        <w:t xml:space="preserve"> = 0.29).</w:t>
      </w:r>
    </w:p>
    <w:p w14:paraId="05EAF79D" w14:textId="09CD09FC" w:rsidR="00787BB3" w:rsidRPr="00E1248B" w:rsidRDefault="00860624" w:rsidP="00DD5881">
      <w:pPr>
        <w:spacing w:line="360" w:lineRule="auto"/>
        <w:rPr>
          <w:rFonts w:ascii="Calibri" w:hAnsi="Calibri" w:cs="Calibri"/>
        </w:rPr>
      </w:pPr>
      <w:r w:rsidRPr="00E1248B">
        <w:rPr>
          <w:rFonts w:ascii="Calibri" w:hAnsi="Calibri" w:cs="Calibri"/>
        </w:rPr>
        <w:t xml:space="preserve">C&amp;O </w:t>
      </w:r>
      <w:r w:rsidR="00010D83" w:rsidRPr="00AF6853">
        <w:rPr>
          <w:rFonts w:ascii="Calibri" w:hAnsi="Calibri" w:cs="Calibri"/>
        </w:rPr>
        <w:t>dependence</w:t>
      </w:r>
      <w:r w:rsidR="00010D83" w:rsidRPr="00E1248B">
        <w:rPr>
          <w:rFonts w:ascii="Calibri" w:hAnsi="Calibri" w:cs="Calibri"/>
        </w:rPr>
        <w:t xml:space="preserve"> </w:t>
      </w:r>
      <w:r w:rsidRPr="00E1248B">
        <w:rPr>
          <w:rFonts w:ascii="Calibri" w:hAnsi="Calibri" w:cs="Calibri"/>
        </w:rPr>
        <w:t>had lower ACM rates in unadjusted analysis (</w:t>
      </w:r>
      <w:r w:rsidR="00DA6041">
        <w:rPr>
          <w:rFonts w:ascii="Calibri" w:hAnsi="Calibri" w:cs="Calibri" w:hint="eastAsia"/>
        </w:rPr>
        <w:t>I</w:t>
      </w:r>
      <w:r w:rsidRPr="00E1248B">
        <w:rPr>
          <w:rFonts w:ascii="Calibri" w:hAnsi="Calibri" w:cs="Calibri"/>
        </w:rPr>
        <w:t>RR = 0.81, 95% CI 0.75–0.87), but after adjustment, the association reversed slightly (</w:t>
      </w:r>
      <w:r w:rsidR="00DA6041">
        <w:rPr>
          <w:rFonts w:ascii="Calibri" w:hAnsi="Calibri" w:cs="Calibri" w:hint="eastAsia"/>
        </w:rPr>
        <w:t>I</w:t>
      </w:r>
      <w:r w:rsidRPr="00E1248B">
        <w:rPr>
          <w:rFonts w:ascii="Calibri" w:hAnsi="Calibri" w:cs="Calibri"/>
        </w:rPr>
        <w:t xml:space="preserve">RR = 0.92, 95% CI 0.86–0.99). Mortality risk was higher in older age groups (50–64 years: </w:t>
      </w:r>
      <w:r w:rsidR="00DA6041">
        <w:rPr>
          <w:rFonts w:ascii="Calibri" w:hAnsi="Calibri" w:cs="Calibri" w:hint="eastAsia"/>
        </w:rPr>
        <w:t>I</w:t>
      </w:r>
      <w:r w:rsidRPr="00E1248B">
        <w:rPr>
          <w:rFonts w:ascii="Calibri" w:hAnsi="Calibri" w:cs="Calibri"/>
        </w:rPr>
        <w:t>RR = 2.48, 95% CI 2.26–2.72), males, residents of Tayside, and those with</w:t>
      </w:r>
      <w:r w:rsidR="00DE3BBC" w:rsidRPr="00DE3BBC">
        <w:rPr>
          <w:rFonts w:ascii="Calibri" w:hAnsi="Calibri" w:cs="Calibri"/>
        </w:rPr>
        <w:t xml:space="preserve"> </w:t>
      </w:r>
      <w:r w:rsidR="00DE3BBC" w:rsidRPr="00E1248B">
        <w:rPr>
          <w:rFonts w:ascii="Calibri" w:hAnsi="Calibri" w:cs="Calibri"/>
        </w:rPr>
        <w:t>homeless or</w:t>
      </w:r>
      <w:r w:rsidRPr="00E1248B">
        <w:rPr>
          <w:rFonts w:ascii="Calibri" w:hAnsi="Calibri" w:cs="Calibri"/>
        </w:rPr>
        <w:t xml:space="preserve"> missing accommodation. </w:t>
      </w:r>
      <w:r w:rsidR="00286607" w:rsidRPr="00286607">
        <w:rPr>
          <w:rFonts w:ascii="Calibri" w:hAnsi="Calibri" w:cs="Calibri"/>
        </w:rPr>
        <w:t>All-cause mortality likewise showed a steady year-on-year increase, peaking at 1.96-fold in 2021 compared with 2015</w:t>
      </w:r>
      <w:r w:rsidR="00286607">
        <w:rPr>
          <w:rFonts w:ascii="Calibri" w:hAnsi="Calibri" w:cs="Calibri" w:hint="eastAsia"/>
        </w:rPr>
        <w:t xml:space="preserve"> </w:t>
      </w:r>
      <w:r w:rsidR="00286607" w:rsidRPr="00E1248B">
        <w:rPr>
          <w:rFonts w:ascii="Calibri" w:hAnsi="Calibri" w:cs="Calibri"/>
        </w:rPr>
        <w:t>(</w:t>
      </w:r>
      <w:r w:rsidR="00286607">
        <w:rPr>
          <w:rFonts w:ascii="Calibri" w:hAnsi="Calibri" w:cs="Calibri" w:hint="eastAsia"/>
        </w:rPr>
        <w:t>2021</w:t>
      </w:r>
      <w:r w:rsidR="00286607" w:rsidRPr="00E1248B">
        <w:rPr>
          <w:rFonts w:ascii="Calibri" w:hAnsi="Calibri" w:cs="Calibri"/>
        </w:rPr>
        <w:t xml:space="preserve">: </w:t>
      </w:r>
      <w:r w:rsidR="00286607">
        <w:rPr>
          <w:rFonts w:ascii="Calibri" w:hAnsi="Calibri" w:cs="Calibri" w:hint="eastAsia"/>
        </w:rPr>
        <w:t>I</w:t>
      </w:r>
      <w:r w:rsidR="00286607" w:rsidRPr="00E1248B">
        <w:rPr>
          <w:rFonts w:ascii="Calibri" w:hAnsi="Calibri" w:cs="Calibri"/>
        </w:rPr>
        <w:t xml:space="preserve">RR = </w:t>
      </w:r>
      <w:r w:rsidR="00286607">
        <w:rPr>
          <w:rFonts w:ascii="Calibri" w:hAnsi="Calibri" w:cs="Calibri" w:hint="eastAsia"/>
        </w:rPr>
        <w:t>1.96</w:t>
      </w:r>
      <w:r w:rsidR="00286607" w:rsidRPr="00E1248B">
        <w:rPr>
          <w:rFonts w:ascii="Calibri" w:hAnsi="Calibri" w:cs="Calibri"/>
        </w:rPr>
        <w:t xml:space="preserve">, 95% CI </w:t>
      </w:r>
      <w:r w:rsidR="00286607">
        <w:rPr>
          <w:rFonts w:ascii="Calibri" w:hAnsi="Calibri" w:cs="Calibri" w:hint="eastAsia"/>
        </w:rPr>
        <w:t>1.75</w:t>
      </w:r>
      <w:r w:rsidR="00286607" w:rsidRPr="00E1248B">
        <w:rPr>
          <w:rFonts w:ascii="Calibri" w:hAnsi="Calibri" w:cs="Calibri"/>
        </w:rPr>
        <w:t>–2.</w:t>
      </w:r>
      <w:r w:rsidR="00286607">
        <w:rPr>
          <w:rFonts w:ascii="Calibri" w:hAnsi="Calibri" w:cs="Calibri" w:hint="eastAsia"/>
        </w:rPr>
        <w:t>2</w:t>
      </w:r>
      <w:r w:rsidR="00286607" w:rsidRPr="00E1248B">
        <w:rPr>
          <w:rFonts w:ascii="Calibri" w:hAnsi="Calibri" w:cs="Calibri"/>
        </w:rPr>
        <w:t>2)</w:t>
      </w:r>
      <w:r w:rsidR="00286607" w:rsidRPr="00286607">
        <w:rPr>
          <w:rFonts w:ascii="Calibri" w:hAnsi="Calibri" w:cs="Calibri"/>
        </w:rPr>
        <w:t>.</w:t>
      </w:r>
      <w:r w:rsidR="00286607" w:rsidRPr="00E1248B">
        <w:rPr>
          <w:rFonts w:ascii="Calibri" w:hAnsi="Calibri" w:cs="Calibri"/>
        </w:rPr>
        <w:t xml:space="preserve"> No</w:t>
      </w:r>
      <w:r w:rsidRPr="00E1248B">
        <w:rPr>
          <w:rFonts w:ascii="Calibri" w:hAnsi="Calibri" w:cs="Calibri"/>
        </w:rPr>
        <w:t xml:space="preserve"> age-by-sex interaction was found (</w:t>
      </w:r>
      <w:r w:rsidRPr="00E1248B">
        <w:rPr>
          <w:rFonts w:ascii="Calibri" w:hAnsi="Calibri" w:cs="Calibri"/>
          <w:i/>
          <w:iCs/>
        </w:rPr>
        <w:t>p</w:t>
      </w:r>
      <w:r w:rsidRPr="00E1248B">
        <w:rPr>
          <w:rFonts w:ascii="Calibri" w:hAnsi="Calibri" w:cs="Calibri"/>
        </w:rPr>
        <w:t xml:space="preserve"> = 0.13).</w:t>
      </w:r>
      <w:r w:rsidR="00286607" w:rsidRPr="00286607">
        <w:rPr>
          <w:rFonts w:ascii="Segoe UI" w:hAnsi="Segoe UI" w:cs="Segoe UI"/>
          <w:i/>
          <w:iCs/>
          <w:bdr w:val="none" w:sz="0" w:space="0" w:color="auto" w:frame="1"/>
          <w:shd w:val="clear" w:color="auto" w:fill="FFFFFF"/>
        </w:rPr>
        <w:t xml:space="preserve"> </w:t>
      </w:r>
    </w:p>
    <w:p w14:paraId="11C11D66" w14:textId="5A786506" w:rsidR="00860624" w:rsidRDefault="00860624" w:rsidP="00DD5881">
      <w:pPr>
        <w:spacing w:line="360" w:lineRule="auto"/>
        <w:rPr>
          <w:rFonts w:ascii="Calibri" w:hAnsi="Calibri" w:cs="Calibri"/>
        </w:rPr>
      </w:pPr>
      <w:r w:rsidRPr="00E1248B">
        <w:rPr>
          <w:rFonts w:ascii="Calibri" w:hAnsi="Calibri" w:cs="Calibri"/>
        </w:rPr>
        <w:t xml:space="preserve">C&amp;O </w:t>
      </w:r>
      <w:r w:rsidR="00010D83" w:rsidRPr="00AF6853">
        <w:rPr>
          <w:rFonts w:ascii="Calibri" w:hAnsi="Calibri" w:cs="Calibri"/>
        </w:rPr>
        <w:t>dependence</w:t>
      </w:r>
      <w:r w:rsidR="00010D83" w:rsidRPr="00E1248B">
        <w:rPr>
          <w:rFonts w:ascii="Calibri" w:hAnsi="Calibri" w:cs="Calibri"/>
        </w:rPr>
        <w:t xml:space="preserve"> </w:t>
      </w:r>
      <w:r w:rsidRPr="00E1248B">
        <w:rPr>
          <w:rFonts w:ascii="Calibri" w:hAnsi="Calibri" w:cs="Calibri"/>
        </w:rPr>
        <w:t xml:space="preserve">experienced substantially higher NFOD rates than opioid-only </w:t>
      </w:r>
      <w:r w:rsidR="00010D83" w:rsidRPr="00AF6853">
        <w:rPr>
          <w:rFonts w:ascii="Calibri" w:hAnsi="Calibri" w:cs="Calibri"/>
        </w:rPr>
        <w:t>dependence</w:t>
      </w:r>
      <w:r w:rsidR="00010D83" w:rsidRPr="00E1248B">
        <w:rPr>
          <w:rFonts w:ascii="Calibri" w:hAnsi="Calibri" w:cs="Calibri"/>
        </w:rPr>
        <w:t xml:space="preserve"> </w:t>
      </w:r>
      <w:r w:rsidRPr="00E1248B">
        <w:rPr>
          <w:rFonts w:ascii="Calibri" w:hAnsi="Calibri" w:cs="Calibri"/>
        </w:rPr>
        <w:t>in both unadjusted (</w:t>
      </w:r>
      <w:r w:rsidR="00227431">
        <w:rPr>
          <w:rFonts w:ascii="Calibri" w:hAnsi="Calibri" w:cs="Calibri" w:hint="eastAsia"/>
        </w:rPr>
        <w:t>I</w:t>
      </w:r>
      <w:r w:rsidRPr="00E1248B">
        <w:rPr>
          <w:rFonts w:ascii="Calibri" w:hAnsi="Calibri" w:cs="Calibri"/>
        </w:rPr>
        <w:t>RR = 1.89, 95% CI 1.82–1.97) and adjusted models (</w:t>
      </w:r>
      <w:r w:rsidR="00F31371">
        <w:rPr>
          <w:rFonts w:ascii="Calibri" w:hAnsi="Calibri" w:cs="Calibri" w:hint="eastAsia"/>
        </w:rPr>
        <w:t>I</w:t>
      </w:r>
      <w:r w:rsidRPr="00E1248B">
        <w:rPr>
          <w:rFonts w:ascii="Calibri" w:hAnsi="Calibri" w:cs="Calibri"/>
        </w:rPr>
        <w:t xml:space="preserve">RR = 1.68, 95% CI 1.61–1.75). Risk was highest among younger participants, males, and residents of Tayside. Homelessness and non-standard accommodation were also associated with elevated NFOD risk, whereas owned/rented housing was protective. </w:t>
      </w:r>
      <w:r w:rsidR="002849CC" w:rsidRPr="002849CC">
        <w:rPr>
          <w:rFonts w:ascii="Calibri" w:hAnsi="Calibri" w:cs="Calibri"/>
        </w:rPr>
        <w:t xml:space="preserve">The model including the interaction between age group and sex showed a significantly better fit compared to the main effects model (Deviance = 23.37, df = 2, p &lt; 0.001). </w:t>
      </w:r>
      <w:r w:rsidR="00455369" w:rsidRPr="00455369">
        <w:rPr>
          <w:rFonts w:ascii="Calibri" w:hAnsi="Calibri" w:cs="Calibri"/>
        </w:rPr>
        <w:t>When the interaction between age group and sex was added to the NFOD model, risk patterns showed notable modification by sex within age categories. Compared to the reference group (females aged 15–34 years), males in the 35–49 and 50–64 year groups had significantly lower relative risks of NFOD (</w:t>
      </w:r>
      <w:r w:rsidR="00286607">
        <w:rPr>
          <w:rFonts w:ascii="Calibri" w:hAnsi="Calibri" w:cs="Calibri" w:hint="eastAsia"/>
        </w:rPr>
        <w:t>I</w:t>
      </w:r>
      <w:r w:rsidR="00455369" w:rsidRPr="00455369">
        <w:rPr>
          <w:rFonts w:ascii="Calibri" w:hAnsi="Calibri" w:cs="Calibri"/>
        </w:rPr>
        <w:t>RR = 0.83, 95% CI 0.76–0.</w:t>
      </w:r>
      <w:r w:rsidR="00F31371" w:rsidRPr="00455369">
        <w:rPr>
          <w:rFonts w:ascii="Calibri" w:hAnsi="Calibri" w:cs="Calibri"/>
        </w:rPr>
        <w:t>91; IRR</w:t>
      </w:r>
      <w:r w:rsidR="00455369" w:rsidRPr="00455369">
        <w:rPr>
          <w:rFonts w:ascii="Calibri" w:hAnsi="Calibri" w:cs="Calibri"/>
        </w:rPr>
        <w:t xml:space="preserve"> = 0.72, 95% CI 0.62–0.84, respectively), despite the overall higher NFOD risk observed among males in the main-effects model. This suggests that the excess risk associated with male is most pronounced in the youngest age group, diminishing in older age categories.</w:t>
      </w:r>
    </w:p>
    <w:p w14:paraId="418BA647" w14:textId="0D6870CE" w:rsidR="00860624" w:rsidRDefault="00860624" w:rsidP="00DD5881">
      <w:pPr>
        <w:spacing w:line="360" w:lineRule="auto"/>
        <w:rPr>
          <w:rFonts w:ascii="Calibri" w:hAnsi="Calibri" w:cs="Calibri"/>
        </w:rPr>
      </w:pPr>
      <w:r w:rsidRPr="00E1248B">
        <w:rPr>
          <w:rFonts w:ascii="Calibri" w:hAnsi="Calibri" w:cs="Calibri"/>
        </w:rPr>
        <w:lastRenderedPageBreak/>
        <w:t xml:space="preserve">C&amp;O </w:t>
      </w:r>
      <w:r w:rsidR="00010D83" w:rsidRPr="00AF6853">
        <w:rPr>
          <w:rFonts w:ascii="Calibri" w:hAnsi="Calibri" w:cs="Calibri"/>
        </w:rPr>
        <w:t>dependence</w:t>
      </w:r>
      <w:r w:rsidR="00010D83" w:rsidRPr="00E1248B">
        <w:rPr>
          <w:rFonts w:ascii="Calibri" w:hAnsi="Calibri" w:cs="Calibri"/>
        </w:rPr>
        <w:t xml:space="preserve"> </w:t>
      </w:r>
      <w:r w:rsidRPr="00E1248B">
        <w:rPr>
          <w:rFonts w:ascii="Calibri" w:hAnsi="Calibri" w:cs="Calibri"/>
        </w:rPr>
        <w:t xml:space="preserve">had lower CVD mortality rates than opioid-only </w:t>
      </w:r>
      <w:r w:rsidR="00010D83" w:rsidRPr="00AF6853">
        <w:rPr>
          <w:rFonts w:ascii="Calibri" w:hAnsi="Calibri" w:cs="Calibri"/>
        </w:rPr>
        <w:t>dependence</w:t>
      </w:r>
      <w:r w:rsidR="00010D83" w:rsidRPr="00E1248B">
        <w:rPr>
          <w:rFonts w:ascii="Calibri" w:hAnsi="Calibri" w:cs="Calibri"/>
        </w:rPr>
        <w:t xml:space="preserve"> </w:t>
      </w:r>
      <w:r w:rsidRPr="00E1248B">
        <w:rPr>
          <w:rFonts w:ascii="Calibri" w:hAnsi="Calibri" w:cs="Calibri"/>
        </w:rPr>
        <w:t xml:space="preserve">(unadjusted </w:t>
      </w:r>
      <w:r w:rsidR="004A4C4D">
        <w:rPr>
          <w:rFonts w:ascii="Calibri" w:hAnsi="Calibri" w:cs="Calibri" w:hint="eastAsia"/>
        </w:rPr>
        <w:t>I</w:t>
      </w:r>
      <w:r w:rsidRPr="00E1248B">
        <w:rPr>
          <w:rFonts w:ascii="Calibri" w:hAnsi="Calibri" w:cs="Calibri"/>
        </w:rPr>
        <w:t xml:space="preserve">RR = 0.60, 95% CI 0.56–0.65; adjusted </w:t>
      </w:r>
      <w:r w:rsidR="004A4C4D">
        <w:rPr>
          <w:rFonts w:ascii="Calibri" w:hAnsi="Calibri" w:cs="Calibri" w:hint="eastAsia"/>
        </w:rPr>
        <w:t>I</w:t>
      </w:r>
      <w:r w:rsidRPr="00E1248B">
        <w:rPr>
          <w:rFonts w:ascii="Calibri" w:hAnsi="Calibri" w:cs="Calibri"/>
        </w:rPr>
        <w:t xml:space="preserve">RR = 0.73, 95% CI 0.68–0.78). Risk was strongly associated with age (50–64 years: </w:t>
      </w:r>
      <w:r w:rsidR="00C70B60">
        <w:rPr>
          <w:rFonts w:ascii="Calibri" w:hAnsi="Calibri" w:cs="Calibri" w:hint="eastAsia"/>
        </w:rPr>
        <w:t>I</w:t>
      </w:r>
      <w:r w:rsidRPr="00E1248B">
        <w:rPr>
          <w:rFonts w:ascii="Calibri" w:hAnsi="Calibri" w:cs="Calibri"/>
        </w:rPr>
        <w:t xml:space="preserve">RR = 6.62, 95% CI 6.00–7.32) and higher among males and residents of Other NHS regions in Scotland. </w:t>
      </w:r>
      <w:r w:rsidR="002849CC" w:rsidRPr="002849CC">
        <w:rPr>
          <w:rFonts w:ascii="Calibri" w:hAnsi="Calibri" w:cs="Calibri"/>
        </w:rPr>
        <w:t>The interaction model showed a marginal improvement in fit (Deviance = 5.85, df = 2, p = 0.0537</w:t>
      </w:r>
      <w:r w:rsidR="00586622">
        <w:rPr>
          <w:rFonts w:ascii="Calibri" w:hAnsi="Calibri" w:cs="Calibri" w:hint="eastAsia"/>
        </w:rPr>
        <w:t>)</w:t>
      </w:r>
      <w:r w:rsidR="002849CC" w:rsidRPr="002849CC">
        <w:rPr>
          <w:rFonts w:ascii="Calibri" w:hAnsi="Calibri" w:cs="Calibri"/>
        </w:rPr>
        <w:t xml:space="preserve">. </w:t>
      </w:r>
      <w:r w:rsidR="00C70AC5" w:rsidRPr="00C70AC5">
        <w:rPr>
          <w:rFonts w:ascii="Calibri" w:hAnsi="Calibri" w:cs="Calibri"/>
        </w:rPr>
        <w:t>For CVD mortality, inclusion of the age group × sex interaction indicated that males in the 35–49 and 50–64 year groups experienced higher risks compared to their female counterparts of the same age (</w:t>
      </w:r>
      <w:r w:rsidR="00394C3E">
        <w:rPr>
          <w:rFonts w:ascii="Calibri" w:hAnsi="Calibri" w:cs="Calibri" w:hint="eastAsia"/>
        </w:rPr>
        <w:t>I</w:t>
      </w:r>
      <w:r w:rsidR="00C70AC5" w:rsidRPr="00C70AC5">
        <w:rPr>
          <w:rFonts w:ascii="Calibri" w:hAnsi="Calibri" w:cs="Calibri"/>
        </w:rPr>
        <w:t>RR = 1.21, 95% CI 1.01–1.</w:t>
      </w:r>
      <w:r w:rsidR="00F31371" w:rsidRPr="00C70AC5">
        <w:rPr>
          <w:rFonts w:ascii="Calibri" w:hAnsi="Calibri" w:cs="Calibri"/>
        </w:rPr>
        <w:t>47; IRR</w:t>
      </w:r>
      <w:r w:rsidR="00C70AC5" w:rsidRPr="00C70AC5">
        <w:rPr>
          <w:rFonts w:ascii="Calibri" w:hAnsi="Calibri" w:cs="Calibri"/>
        </w:rPr>
        <w:t xml:space="preserve"> = 1.29, 95% CI 1.05–1.58, respectively). </w:t>
      </w:r>
    </w:p>
    <w:p w14:paraId="6D207E7B" w14:textId="77777777" w:rsidR="00586622" w:rsidRPr="00E1248B" w:rsidRDefault="00586622" w:rsidP="00DD5881">
      <w:pPr>
        <w:spacing w:line="360" w:lineRule="auto"/>
        <w:rPr>
          <w:rFonts w:ascii="Calibri" w:hAnsi="Calibri" w:cs="Calibri"/>
        </w:rPr>
      </w:pPr>
    </w:p>
    <w:p w14:paraId="01CECFE8" w14:textId="77777777" w:rsidR="00860624" w:rsidRPr="00467898" w:rsidRDefault="00860624" w:rsidP="00DD5881">
      <w:pPr>
        <w:spacing w:line="360" w:lineRule="auto"/>
        <w:rPr>
          <w:rFonts w:ascii="Calibri" w:hAnsi="Calibri" w:cs="Calibri"/>
          <w:b/>
          <w:bCs/>
        </w:rPr>
      </w:pPr>
      <w:r w:rsidRPr="00467898">
        <w:rPr>
          <w:rFonts w:ascii="Calibri" w:hAnsi="Calibri" w:cs="Calibri"/>
          <w:b/>
          <w:bCs/>
        </w:rPr>
        <w:t>Conclusion</w:t>
      </w:r>
    </w:p>
    <w:p w14:paraId="760A9DDE" w14:textId="77777777" w:rsidR="00860624" w:rsidRDefault="00860624" w:rsidP="00DD5881">
      <w:pPr>
        <w:spacing w:line="360" w:lineRule="auto"/>
        <w:rPr>
          <w:rFonts w:ascii="Calibri" w:hAnsi="Calibri" w:cs="Calibri"/>
        </w:rPr>
      </w:pPr>
    </w:p>
    <w:p w14:paraId="55F764AF" w14:textId="32B42197" w:rsidR="00E63A20" w:rsidRDefault="00E63A20" w:rsidP="00DD5881">
      <w:pPr>
        <w:spacing w:line="360" w:lineRule="auto"/>
        <w:rPr>
          <w:rFonts w:ascii="Calibri" w:hAnsi="Calibri" w:cs="Calibri"/>
        </w:rPr>
      </w:pPr>
      <w:r w:rsidRPr="00E63A20">
        <w:rPr>
          <w:rFonts w:ascii="Calibri" w:hAnsi="Calibri" w:cs="Calibri"/>
        </w:rPr>
        <w:t xml:space="preserve">This </w:t>
      </w:r>
      <w:r w:rsidRPr="00467898">
        <w:rPr>
          <w:rFonts w:ascii="Calibri" w:hAnsi="Calibri" w:cs="Calibri"/>
        </w:rPr>
        <w:t xml:space="preserve">retrospective </w:t>
      </w:r>
      <w:r w:rsidRPr="00E63A20">
        <w:rPr>
          <w:rFonts w:ascii="Calibri" w:hAnsi="Calibri" w:cs="Calibri"/>
        </w:rPr>
        <w:t>cohort study of 37,409 individuals receiving opioid agonist therapy</w:t>
      </w:r>
      <w:r w:rsidR="00F31371">
        <w:rPr>
          <w:rFonts w:ascii="Calibri" w:hAnsi="Calibri" w:cs="Calibri" w:hint="eastAsia"/>
        </w:rPr>
        <w:t xml:space="preserve"> (OAT)</w:t>
      </w:r>
      <w:r w:rsidRPr="00E63A20">
        <w:rPr>
          <w:rFonts w:ascii="Calibri" w:hAnsi="Calibri" w:cs="Calibri"/>
        </w:rPr>
        <w:t xml:space="preserve"> in Scotland between 2015 and 2022 demonstrates that concurrent cocaine and opioid (C&amp;O) dependence is associated with distinct patterns of drug-related harms compared with opioid-only dependence. C&amp;O </w:t>
      </w:r>
      <w:r w:rsidR="00010D83" w:rsidRPr="00AF6853">
        <w:rPr>
          <w:rFonts w:ascii="Calibri" w:hAnsi="Calibri" w:cs="Calibri"/>
        </w:rPr>
        <w:t>dependence</w:t>
      </w:r>
      <w:r w:rsidR="00010D83" w:rsidRPr="00E63A20">
        <w:rPr>
          <w:rFonts w:ascii="Calibri" w:hAnsi="Calibri" w:cs="Calibri"/>
        </w:rPr>
        <w:t xml:space="preserve"> </w:t>
      </w:r>
      <w:r w:rsidRPr="00E63A20">
        <w:rPr>
          <w:rFonts w:ascii="Calibri" w:hAnsi="Calibri" w:cs="Calibri"/>
        </w:rPr>
        <w:t xml:space="preserve">experienced markedly higher non-fatal overdose (NFOD) rates, even after adjustment for demographic, </w:t>
      </w:r>
      <w:r w:rsidR="009A1E7F" w:rsidRPr="00467898">
        <w:rPr>
          <w:rFonts w:ascii="Calibri" w:hAnsi="Calibri" w:cs="Calibri"/>
        </w:rPr>
        <w:t>region</w:t>
      </w:r>
      <w:r w:rsidRPr="00E63A20">
        <w:rPr>
          <w:rFonts w:ascii="Calibri" w:hAnsi="Calibri" w:cs="Calibri"/>
        </w:rPr>
        <w:t xml:space="preserve"> and </w:t>
      </w:r>
      <w:r w:rsidR="009A1E7F" w:rsidRPr="009A1E7F">
        <w:rPr>
          <w:rFonts w:ascii="Calibri" w:hAnsi="Calibri" w:cs="Calibri"/>
        </w:rPr>
        <w:t>accommodation</w:t>
      </w:r>
      <w:r w:rsidR="009A1E7F" w:rsidRPr="009A1E7F">
        <w:rPr>
          <w:rFonts w:ascii="Calibri" w:hAnsi="Calibri" w:cs="Calibri" w:hint="eastAsia"/>
        </w:rPr>
        <w:t xml:space="preserve"> </w:t>
      </w:r>
      <w:r w:rsidR="00B16480" w:rsidRPr="00B16480">
        <w:rPr>
          <w:rFonts w:ascii="Calibri" w:hAnsi="Calibri" w:cs="Calibri"/>
        </w:rPr>
        <w:t>status</w:t>
      </w:r>
      <w:r w:rsidRPr="00E63A20">
        <w:rPr>
          <w:rFonts w:ascii="Calibri" w:hAnsi="Calibri" w:cs="Calibri"/>
        </w:rPr>
        <w:t xml:space="preserve">, indicating a sustained and significant burden of acute overdose risk in this group. </w:t>
      </w:r>
      <w:r w:rsidR="000A60BD" w:rsidRPr="000A60BD">
        <w:rPr>
          <w:rFonts w:ascii="Calibri" w:hAnsi="Calibri" w:cs="Calibri"/>
        </w:rPr>
        <w:t>Notably, elevated NFOD risk in men was concentrated in the youngest age group (15-34 years), whereas excess risk decreased in older men, highlighting important age-sex heterogeneity.</w:t>
      </w:r>
    </w:p>
    <w:p w14:paraId="6BA477EF" w14:textId="7D1BF636" w:rsidR="00860624" w:rsidRPr="00467898" w:rsidRDefault="00AE4F2E" w:rsidP="00DD5881">
      <w:pPr>
        <w:spacing w:line="360" w:lineRule="auto"/>
        <w:rPr>
          <w:rFonts w:ascii="Calibri" w:hAnsi="Calibri" w:cs="Calibri"/>
        </w:rPr>
      </w:pPr>
      <w:r w:rsidRPr="00AE4F2E">
        <w:rPr>
          <w:rFonts w:ascii="Calibri" w:hAnsi="Calibri" w:cs="Calibri"/>
        </w:rPr>
        <w:t xml:space="preserve">In contrast, C&amp;O dependence is associated with a lower cardiovascular mortality rate (CVD), while there is no significant difference in adjusted drug-related </w:t>
      </w:r>
      <w:r w:rsidR="00F31371" w:rsidRPr="00467898">
        <w:rPr>
          <w:rFonts w:ascii="Calibri" w:hAnsi="Calibri" w:cs="Calibri"/>
        </w:rPr>
        <w:t>death</w:t>
      </w:r>
      <w:r w:rsidR="00F31371">
        <w:rPr>
          <w:rFonts w:ascii="Calibri" w:hAnsi="Calibri" w:cs="Calibri" w:hint="eastAsia"/>
        </w:rPr>
        <w:t>s</w:t>
      </w:r>
      <w:r w:rsidR="00F31371" w:rsidRPr="00467898">
        <w:rPr>
          <w:rFonts w:ascii="Calibri" w:hAnsi="Calibri" w:cs="Calibri"/>
        </w:rPr>
        <w:t xml:space="preserve"> </w:t>
      </w:r>
      <w:r w:rsidRPr="00AE4F2E">
        <w:rPr>
          <w:rFonts w:ascii="Calibri" w:hAnsi="Calibri" w:cs="Calibri"/>
        </w:rPr>
        <w:t>(DRD), which conflicts with our prior knowledge.</w:t>
      </w:r>
      <w:r w:rsidR="0008016E">
        <w:rPr>
          <w:rFonts w:ascii="Calibri" w:hAnsi="Calibri" w:cs="Calibri" w:hint="eastAsia"/>
        </w:rPr>
        <w:t xml:space="preserve"> </w:t>
      </w:r>
      <w:r w:rsidR="001A43D0" w:rsidRPr="001A43D0">
        <w:rPr>
          <w:rFonts w:ascii="Calibri" w:hAnsi="Calibri" w:cs="Calibri"/>
        </w:rPr>
        <w:t>The interaction analysis suggested that middle-aged and older males had higher CVD mortality compared to females of the same age, underscoring the importance of tailored cardiovascular risk monitoring in this subgroup.</w:t>
      </w:r>
    </w:p>
    <w:p w14:paraId="73081D78" w14:textId="429B9D42" w:rsidR="00860624" w:rsidRPr="00B16480" w:rsidRDefault="00860624" w:rsidP="00AF592B">
      <w:pPr>
        <w:spacing w:line="360" w:lineRule="auto"/>
        <w:rPr>
          <w:rFonts w:ascii="Calibri" w:hAnsi="Calibri" w:cs="Calibri"/>
        </w:rPr>
      </w:pPr>
      <w:r w:rsidRPr="00467898">
        <w:rPr>
          <w:rFonts w:ascii="Calibri" w:hAnsi="Calibri" w:cs="Calibri"/>
        </w:rPr>
        <w:t xml:space="preserve">Age, sex, region and </w:t>
      </w:r>
      <w:r w:rsidR="009A1E7F" w:rsidRPr="009A1E7F">
        <w:rPr>
          <w:rFonts w:ascii="Calibri" w:hAnsi="Calibri" w:cs="Calibri"/>
        </w:rPr>
        <w:t>accommodation</w:t>
      </w:r>
      <w:r w:rsidR="00B16480">
        <w:rPr>
          <w:rFonts w:ascii="Calibri" w:hAnsi="Calibri" w:cs="Calibri" w:hint="eastAsia"/>
        </w:rPr>
        <w:t xml:space="preserve"> </w:t>
      </w:r>
      <w:r w:rsidR="00B16480" w:rsidRPr="00B16480">
        <w:rPr>
          <w:rFonts w:ascii="Calibri" w:hAnsi="Calibri" w:cs="Calibri"/>
        </w:rPr>
        <w:t>status</w:t>
      </w:r>
      <w:r w:rsidR="009A1E7F" w:rsidRPr="009A1E7F">
        <w:rPr>
          <w:rFonts w:ascii="Calibri" w:hAnsi="Calibri" w:cs="Calibri" w:hint="eastAsia"/>
        </w:rPr>
        <w:t xml:space="preserve"> </w:t>
      </w:r>
      <w:r w:rsidRPr="00467898">
        <w:rPr>
          <w:rFonts w:ascii="Calibri" w:hAnsi="Calibri" w:cs="Calibri"/>
        </w:rPr>
        <w:t>instability emerged as consistent predictors of adverse outcomes, with older age linked to higher drug-related death</w:t>
      </w:r>
      <w:r w:rsidR="00F31371">
        <w:rPr>
          <w:rFonts w:ascii="Calibri" w:hAnsi="Calibri" w:cs="Calibri" w:hint="eastAsia"/>
        </w:rPr>
        <w:t>s</w:t>
      </w:r>
      <w:r w:rsidRPr="00467898">
        <w:rPr>
          <w:rFonts w:ascii="Calibri" w:hAnsi="Calibri" w:cs="Calibri"/>
        </w:rPr>
        <w:t xml:space="preserve"> (DRD), all-cause mortality (ACM), and cardiovascular death (CVD) risk, and homelessness strongly associated with DRD and ACM. </w:t>
      </w:r>
      <w:r w:rsidR="00733DCC" w:rsidRPr="00733DCC">
        <w:rPr>
          <w:rFonts w:ascii="Calibri" w:hAnsi="Calibri" w:cs="Calibri"/>
        </w:rPr>
        <w:t xml:space="preserve">These findings reinforce the need for targeted harm reduction strategies for individuals with C&amp;O dependence, particularly younger males at heightened NFOD risk </w:t>
      </w:r>
      <w:r w:rsidR="00733DCC" w:rsidRPr="00733DCC">
        <w:rPr>
          <w:rFonts w:ascii="Calibri" w:hAnsi="Calibri" w:cs="Calibri"/>
        </w:rPr>
        <w:lastRenderedPageBreak/>
        <w:t xml:space="preserve">and older males vulnerable to cardiovascular complications. </w:t>
      </w:r>
      <w:r w:rsidR="00D77182" w:rsidRPr="00D77182">
        <w:rPr>
          <w:rFonts w:ascii="Calibri" w:hAnsi="Calibri" w:cs="Calibri"/>
        </w:rPr>
        <w:t>Moreover, the persistent year-on-year rise in event rates from 201</w:t>
      </w:r>
      <w:r w:rsidR="00D77182">
        <w:rPr>
          <w:rFonts w:ascii="Calibri" w:hAnsi="Calibri" w:cs="Calibri" w:hint="eastAsia"/>
        </w:rPr>
        <w:t>5</w:t>
      </w:r>
      <w:r w:rsidR="00D77182" w:rsidRPr="00D77182">
        <w:rPr>
          <w:rFonts w:ascii="Calibri" w:hAnsi="Calibri" w:cs="Calibri"/>
        </w:rPr>
        <w:t xml:space="preserve"> to 2022 underscores the urgency of implementing interventions.</w:t>
      </w:r>
      <w:r w:rsidR="00D77182" w:rsidRPr="00D77182">
        <w:rPr>
          <w:rFonts w:ascii="Calibri" w:hAnsi="Calibri" w:cs="Calibri" w:hint="eastAsia"/>
        </w:rPr>
        <w:t xml:space="preserve"> </w:t>
      </w:r>
      <w:r w:rsidR="00733DCC" w:rsidRPr="00733DCC">
        <w:rPr>
          <w:rFonts w:ascii="Calibri" w:hAnsi="Calibri" w:cs="Calibri"/>
        </w:rPr>
        <w:t xml:space="preserve">Addressing intersecting vulnerabilities—such as homelessness and regional disparities—will be critical to reducing the overall burden of drug-related harms in Scotland. </w:t>
      </w:r>
    </w:p>
    <w:p w14:paraId="10E702E5" w14:textId="77777777" w:rsidR="00AD555C" w:rsidRPr="00467898" w:rsidRDefault="00AD555C" w:rsidP="00DD5881">
      <w:pPr>
        <w:spacing w:line="360" w:lineRule="auto"/>
        <w:rPr>
          <w:rFonts w:ascii="Calibri" w:hAnsi="Calibri" w:cs="Calibri"/>
        </w:rPr>
      </w:pPr>
    </w:p>
    <w:p w14:paraId="7E59F02A" w14:textId="77777777" w:rsidR="00860624" w:rsidRDefault="00860624" w:rsidP="00DD5881">
      <w:pPr>
        <w:spacing w:line="360" w:lineRule="auto"/>
        <w:rPr>
          <w:rFonts w:ascii="Calibri" w:hAnsi="Calibri" w:cs="Calibri"/>
          <w:b/>
          <w:bCs/>
        </w:rPr>
      </w:pPr>
      <w:r w:rsidRPr="003E43B6">
        <w:rPr>
          <w:rFonts w:ascii="Calibri" w:hAnsi="Calibri" w:cs="Calibri"/>
          <w:b/>
          <w:bCs/>
        </w:rPr>
        <w:t>Author Contributions</w:t>
      </w:r>
    </w:p>
    <w:p w14:paraId="1B467C00" w14:textId="77777777" w:rsidR="008C7453" w:rsidRPr="003E43B6" w:rsidRDefault="008C7453" w:rsidP="00DD5881">
      <w:pPr>
        <w:spacing w:line="360" w:lineRule="auto"/>
        <w:rPr>
          <w:rFonts w:ascii="Calibri" w:hAnsi="Calibri" w:cs="Calibri"/>
          <w:b/>
          <w:bCs/>
        </w:rPr>
      </w:pPr>
    </w:p>
    <w:p w14:paraId="470C3EC1" w14:textId="7AEB7D15" w:rsidR="00860624" w:rsidRDefault="005D0347" w:rsidP="00DD5881">
      <w:pPr>
        <w:spacing w:line="360" w:lineRule="auto"/>
        <w:rPr>
          <w:rFonts w:ascii="Calibri" w:hAnsi="Calibri" w:cs="Calibri"/>
        </w:rPr>
      </w:pPr>
      <w:r w:rsidRPr="005D0347">
        <w:rPr>
          <w:rFonts w:ascii="Calibri" w:hAnsi="Calibri" w:cs="Calibri"/>
        </w:rPr>
        <w:t>My supervisor</w:t>
      </w:r>
      <w:r w:rsidR="00E6608F">
        <w:rPr>
          <w:rFonts w:ascii="Calibri" w:hAnsi="Calibri" w:cs="Calibri" w:hint="eastAsia"/>
        </w:rPr>
        <w:t>s</w:t>
      </w:r>
      <w:r w:rsidRPr="005D0347">
        <w:rPr>
          <w:rFonts w:ascii="Calibri" w:hAnsi="Calibri" w:cs="Calibri"/>
        </w:rPr>
        <w:t xml:space="preserve"> provided academic guidance in defining the study cohort, variables, and outcomes, and assisted in developing the corresponding code. </w:t>
      </w:r>
      <w:r w:rsidR="00942053" w:rsidRPr="00942053">
        <w:rPr>
          <w:rFonts w:ascii="Calibri" w:hAnsi="Calibri" w:cs="Calibri"/>
        </w:rPr>
        <w:t>My supervisor</w:t>
      </w:r>
      <w:r w:rsidR="00E6608F">
        <w:rPr>
          <w:rFonts w:ascii="Calibri" w:hAnsi="Calibri" w:cs="Calibri" w:hint="eastAsia"/>
        </w:rPr>
        <w:t>s</w:t>
      </w:r>
      <w:r w:rsidR="00942053" w:rsidRPr="00942053">
        <w:rPr>
          <w:rFonts w:ascii="Calibri" w:hAnsi="Calibri" w:cs="Calibri"/>
        </w:rPr>
        <w:t xml:space="preserve"> also offered suggestions on the selection of statistical models and the inclusion of interactions to ensure the rigor and efficiency of the methods.</w:t>
      </w:r>
      <w:r w:rsidR="00C878BA">
        <w:rPr>
          <w:rFonts w:ascii="Calibri" w:hAnsi="Calibri" w:cs="Calibri" w:hint="eastAsia"/>
        </w:rPr>
        <w:t xml:space="preserve"> </w:t>
      </w:r>
      <w:r w:rsidRPr="005D0347">
        <w:rPr>
          <w:rFonts w:ascii="Calibri" w:hAnsi="Calibri" w:cs="Calibri"/>
        </w:rPr>
        <w:t>In addition, I received feedback on the presentation of results, including the choice and design of figures and tables. All data analysis, interpretation, and writing were conducted by the author.</w:t>
      </w:r>
    </w:p>
    <w:p w14:paraId="4B36F717" w14:textId="77777777" w:rsidR="00AD555C" w:rsidRPr="00467898" w:rsidRDefault="00AD555C" w:rsidP="00DD5881">
      <w:pPr>
        <w:spacing w:line="360" w:lineRule="auto"/>
        <w:rPr>
          <w:rFonts w:ascii="Calibri" w:hAnsi="Calibri" w:cs="Calibri"/>
        </w:rPr>
      </w:pPr>
    </w:p>
    <w:p w14:paraId="3BD0462F" w14:textId="77777777" w:rsidR="00860624" w:rsidRPr="003E43B6" w:rsidRDefault="00860624" w:rsidP="00DD5881">
      <w:pPr>
        <w:spacing w:line="360" w:lineRule="auto"/>
        <w:rPr>
          <w:rFonts w:ascii="Calibri" w:hAnsi="Calibri" w:cs="Calibri"/>
          <w:b/>
          <w:bCs/>
        </w:rPr>
      </w:pPr>
      <w:r w:rsidRPr="003E43B6">
        <w:rPr>
          <w:rFonts w:ascii="Calibri" w:hAnsi="Calibri" w:cs="Calibri"/>
          <w:b/>
          <w:bCs/>
        </w:rPr>
        <w:t>Acknowledgements</w:t>
      </w:r>
    </w:p>
    <w:p w14:paraId="40214B45" w14:textId="77777777" w:rsidR="00860624" w:rsidRPr="00467898" w:rsidRDefault="00860624" w:rsidP="00DD5881">
      <w:pPr>
        <w:spacing w:line="360" w:lineRule="auto"/>
        <w:rPr>
          <w:rFonts w:ascii="Calibri" w:hAnsi="Calibri" w:cs="Calibri"/>
        </w:rPr>
      </w:pPr>
    </w:p>
    <w:p w14:paraId="08CED261" w14:textId="61EC0BC3" w:rsidR="00E936B1" w:rsidRPr="00E936B1" w:rsidRDefault="00E936B1" w:rsidP="00E936B1">
      <w:pPr>
        <w:spacing w:line="360" w:lineRule="auto"/>
        <w:rPr>
          <w:rFonts w:ascii="Calibri" w:hAnsi="Calibri" w:cs="Calibri"/>
        </w:rPr>
      </w:pPr>
      <w:r w:rsidRPr="00E936B1">
        <w:rPr>
          <w:rFonts w:ascii="Calibri" w:hAnsi="Calibri" w:cs="Calibri"/>
        </w:rPr>
        <w:t>We sincerely thank the individuals who participated in the Scottish Drug Treatment Service for their data making this research possible.</w:t>
      </w:r>
    </w:p>
    <w:p w14:paraId="2855901C" w14:textId="6105A234" w:rsidR="000D79AE" w:rsidRDefault="00E936B1" w:rsidP="00E936B1">
      <w:pPr>
        <w:spacing w:line="360" w:lineRule="auto"/>
        <w:rPr>
          <w:rFonts w:ascii="Calibri" w:hAnsi="Calibri" w:cs="Calibri"/>
        </w:rPr>
      </w:pPr>
      <w:r w:rsidRPr="00E936B1">
        <w:rPr>
          <w:rFonts w:ascii="Calibri" w:hAnsi="Calibri" w:cs="Calibri"/>
        </w:rPr>
        <w:t xml:space="preserve">We are grateful to the </w:t>
      </w:r>
      <w:r w:rsidR="002F0EEC">
        <w:rPr>
          <w:rFonts w:ascii="Calibri" w:hAnsi="Calibri" w:cs="Calibri" w:hint="eastAsia"/>
        </w:rPr>
        <w:t xml:space="preserve">supervisors </w:t>
      </w:r>
      <w:r w:rsidRPr="00E936B1">
        <w:rPr>
          <w:rFonts w:ascii="Calibri" w:hAnsi="Calibri" w:cs="Calibri"/>
        </w:rPr>
        <w:t>at Bristol Medical School for the methodological guidance they provided, which has been of great help.</w:t>
      </w:r>
    </w:p>
    <w:p w14:paraId="18B1F935" w14:textId="77777777" w:rsidR="00D021AA" w:rsidRDefault="00D021AA" w:rsidP="00DD5881">
      <w:pPr>
        <w:spacing w:line="360" w:lineRule="auto"/>
        <w:rPr>
          <w:rFonts w:ascii="Calibri" w:hAnsi="Calibri" w:cs="Calibri"/>
        </w:rPr>
      </w:pPr>
    </w:p>
    <w:p w14:paraId="40736F65" w14:textId="77777777" w:rsidR="00D021AA" w:rsidRDefault="00D021AA" w:rsidP="00DD5881">
      <w:pPr>
        <w:spacing w:line="360" w:lineRule="auto"/>
        <w:rPr>
          <w:rFonts w:ascii="Calibri" w:hAnsi="Calibri" w:cs="Calibri"/>
        </w:rPr>
      </w:pPr>
    </w:p>
    <w:p w14:paraId="363FE3D9" w14:textId="77777777" w:rsidR="000525EB" w:rsidRDefault="000525EB" w:rsidP="00DD5881">
      <w:pPr>
        <w:spacing w:line="360" w:lineRule="auto"/>
        <w:rPr>
          <w:rFonts w:ascii="Calibri" w:hAnsi="Calibri" w:cs="Calibri"/>
        </w:rPr>
      </w:pPr>
    </w:p>
    <w:p w14:paraId="556BF2FA" w14:textId="77777777" w:rsidR="000525EB" w:rsidRDefault="000525EB" w:rsidP="00DD5881">
      <w:pPr>
        <w:spacing w:line="360" w:lineRule="auto"/>
        <w:rPr>
          <w:rFonts w:ascii="Calibri" w:hAnsi="Calibri" w:cs="Calibri"/>
        </w:rPr>
      </w:pPr>
    </w:p>
    <w:p w14:paraId="0E3C2F65" w14:textId="77777777" w:rsidR="000525EB" w:rsidRDefault="000525EB" w:rsidP="00DD5881">
      <w:pPr>
        <w:spacing w:line="360" w:lineRule="auto"/>
        <w:rPr>
          <w:rFonts w:ascii="Calibri" w:hAnsi="Calibri" w:cs="Calibri"/>
        </w:rPr>
      </w:pPr>
    </w:p>
    <w:p w14:paraId="399BE532" w14:textId="77777777" w:rsidR="000525EB" w:rsidRPr="00467898" w:rsidRDefault="000525EB" w:rsidP="00DD5881">
      <w:pPr>
        <w:spacing w:line="360" w:lineRule="auto"/>
        <w:rPr>
          <w:rFonts w:ascii="Calibri" w:hAnsi="Calibri" w:cs="Calibri"/>
        </w:rPr>
      </w:pPr>
    </w:p>
    <w:p w14:paraId="11F6FEDC" w14:textId="7C494D10" w:rsidR="008C7453" w:rsidRDefault="00D021AA" w:rsidP="00DD5881">
      <w:pPr>
        <w:spacing w:line="360" w:lineRule="auto"/>
        <w:rPr>
          <w:rFonts w:ascii="Calibri" w:hAnsi="Calibri" w:cs="Calibri"/>
          <w:b/>
          <w:bCs/>
        </w:rPr>
      </w:pPr>
      <w:r w:rsidRPr="00467898">
        <w:rPr>
          <w:rFonts w:ascii="Calibri" w:hAnsi="Calibri" w:cs="Calibri"/>
          <w:b/>
          <w:bCs/>
        </w:rPr>
        <w:lastRenderedPageBreak/>
        <w:t xml:space="preserve">References </w:t>
      </w:r>
    </w:p>
    <w:p w14:paraId="7D3CC8DD" w14:textId="77777777" w:rsidR="008C7453" w:rsidRPr="00467898" w:rsidRDefault="008C7453" w:rsidP="00DD5881">
      <w:pPr>
        <w:spacing w:line="360" w:lineRule="auto"/>
        <w:rPr>
          <w:rFonts w:ascii="Calibri" w:hAnsi="Calibri" w:cs="Calibri"/>
          <w:b/>
          <w:bCs/>
        </w:rPr>
      </w:pPr>
    </w:p>
    <w:p w14:paraId="3F715B3E" w14:textId="77777777" w:rsidR="00D021AA" w:rsidRPr="00467898" w:rsidRDefault="00D021AA" w:rsidP="00DD5881">
      <w:pPr>
        <w:pStyle w:val="NormalWeb"/>
        <w:numPr>
          <w:ilvl w:val="0"/>
          <w:numId w:val="1"/>
        </w:numPr>
        <w:spacing w:line="360" w:lineRule="auto"/>
        <w:rPr>
          <w:rFonts w:ascii="Calibri" w:hAnsi="Calibri" w:cs="Calibri"/>
        </w:rPr>
      </w:pPr>
      <w:r w:rsidRPr="00467898">
        <w:rPr>
          <w:rFonts w:ascii="Calibri" w:hAnsi="Calibri" w:cs="Calibri"/>
          <w:lang w:val="en-GB"/>
        </w:rPr>
        <w:t xml:space="preserve">McAuley A, Fraser R, Glancy M, Yeung A, Jones HE, Vickerman P, Fraser H, Allen L, McDonald SA, Stone J, Liddell D. Mortality among individuals prescribed opioid-agonist therapy in Scotland, UK, 2011–20: a national retrospective cohort study. The Lancet Public Health. 2023 Jul 1;8(7):e484-93. </w:t>
      </w:r>
      <w:hyperlink r:id="rId21" w:history="1">
        <w:r w:rsidRPr="00467898">
          <w:rPr>
            <w:rStyle w:val="Hyperlink"/>
            <w:rFonts w:ascii="Calibri" w:hAnsi="Calibri" w:cs="Calibri"/>
          </w:rPr>
          <w:t>https://doi.org/10.1016/S2468-2667(23)00082-8</w:t>
        </w:r>
      </w:hyperlink>
    </w:p>
    <w:p w14:paraId="7AC62D11" w14:textId="77777777" w:rsidR="00D021AA" w:rsidRPr="00467898" w:rsidRDefault="00D021AA" w:rsidP="00DD5881">
      <w:pPr>
        <w:pStyle w:val="NormalWeb"/>
        <w:numPr>
          <w:ilvl w:val="0"/>
          <w:numId w:val="1"/>
        </w:numPr>
        <w:spacing w:line="360" w:lineRule="auto"/>
        <w:rPr>
          <w:rFonts w:ascii="Calibri" w:hAnsi="Calibri" w:cs="Calibri"/>
        </w:rPr>
      </w:pPr>
      <w:r w:rsidRPr="00467898">
        <w:rPr>
          <w:rFonts w:ascii="Calibri" w:hAnsi="Calibri" w:cs="Calibri"/>
        </w:rPr>
        <w:t xml:space="preserve">Public Health Scotland. Estimated prevalence of opioid dependence in Scotland: 2014/15 to 2022/23. 2024. </w:t>
      </w:r>
      <w:hyperlink r:id="rId22" w:tgtFrame="_new" w:history="1">
        <w:r w:rsidRPr="00467898">
          <w:rPr>
            <w:rStyle w:val="Hyperlink"/>
            <w:rFonts w:ascii="Calibri" w:hAnsi="Calibri" w:cs="Calibri"/>
          </w:rPr>
          <w:t>https://publichealthscotland.scot/publications/estimated-prevalence-of-opioid-dependence-in-scotland/</w:t>
        </w:r>
      </w:hyperlink>
      <w:r w:rsidRPr="00467898">
        <w:rPr>
          <w:rFonts w:ascii="Calibri" w:hAnsi="Calibri" w:cs="Calibri"/>
        </w:rPr>
        <w:t xml:space="preserve"> (Accessed: 28 March 2025)</w:t>
      </w:r>
    </w:p>
    <w:p w14:paraId="1FBBD353" w14:textId="77777777" w:rsidR="00D021AA" w:rsidRPr="00467898" w:rsidRDefault="00D021AA" w:rsidP="00DD5881">
      <w:pPr>
        <w:pStyle w:val="NormalWeb"/>
        <w:numPr>
          <w:ilvl w:val="0"/>
          <w:numId w:val="1"/>
        </w:numPr>
        <w:spacing w:line="360" w:lineRule="auto"/>
        <w:rPr>
          <w:rFonts w:ascii="Calibri" w:hAnsi="Calibri" w:cs="Calibri"/>
        </w:rPr>
      </w:pPr>
      <w:r w:rsidRPr="00467898">
        <w:rPr>
          <w:rFonts w:ascii="Calibri" w:hAnsi="Calibri" w:cs="Calibri"/>
          <w:lang w:val="en-GB"/>
        </w:rPr>
        <w:t>Degenhardt L, Grebely J, Stone J, Hickman M, Vickerman P, Marshall BD, Bruneau J, Altice FL, Henderson G, Rahimi-Movaghar A, Larney S. Global patterns of opioid use and dependence: harms to populations, interventions, and future action. The Lancet. 2019 Oct 26;394(10208):1560-79.</w:t>
      </w:r>
      <w:r w:rsidRPr="00467898">
        <w:rPr>
          <w:rFonts w:ascii="Calibri" w:eastAsia="Times New Roman" w:hAnsi="Calibri" w:cs="Calibri"/>
          <w:color w:val="212121"/>
          <w14:ligatures w14:val="none"/>
        </w:rPr>
        <w:t xml:space="preserve"> </w:t>
      </w:r>
      <w:hyperlink r:id="rId23" w:tgtFrame="_blank" w:history="1">
        <w:r w:rsidRPr="00467898">
          <w:rPr>
            <w:rStyle w:val="Hyperlink"/>
            <w:rFonts w:ascii="Calibri" w:hAnsi="Calibri" w:cs="Calibri"/>
          </w:rPr>
          <w:t>https://doi.org/10.1016/s0140-6736(19)32229-9</w:t>
        </w:r>
      </w:hyperlink>
    </w:p>
    <w:p w14:paraId="03A6CB3B" w14:textId="77777777" w:rsidR="00D021AA" w:rsidRPr="00467898" w:rsidRDefault="00D021AA" w:rsidP="00DD5881">
      <w:pPr>
        <w:pStyle w:val="NormalWeb"/>
        <w:numPr>
          <w:ilvl w:val="0"/>
          <w:numId w:val="1"/>
        </w:numPr>
        <w:spacing w:line="360" w:lineRule="auto"/>
        <w:rPr>
          <w:rFonts w:ascii="Calibri" w:hAnsi="Calibri" w:cs="Calibri"/>
        </w:rPr>
      </w:pPr>
      <w:r w:rsidRPr="00467898">
        <w:rPr>
          <w:rFonts w:ascii="Calibri" w:hAnsi="Calibri" w:cs="Calibri"/>
          <w:lang w:val="en-GB"/>
        </w:rPr>
        <w:t xml:space="preserve">Dasgupta N, Beletsky L, Ciccarone D. Opioid crisis: no easy fix to its social and economic determinants. American journal of public health. 2018 Feb;108(2):182-6. </w:t>
      </w:r>
      <w:hyperlink r:id="rId24" w:history="1">
        <w:r w:rsidRPr="00467898">
          <w:rPr>
            <w:rStyle w:val="Hyperlink"/>
            <w:rFonts w:ascii="Calibri" w:hAnsi="Calibri" w:cs="Calibri"/>
          </w:rPr>
          <w:t>https://doi.org/10.2105/AJPH.2017.304187</w:t>
        </w:r>
      </w:hyperlink>
    </w:p>
    <w:p w14:paraId="30CF5320" w14:textId="77777777" w:rsidR="00D021AA" w:rsidRPr="00467898" w:rsidRDefault="00D021AA" w:rsidP="00DD5881">
      <w:pPr>
        <w:pStyle w:val="NormalWeb"/>
        <w:numPr>
          <w:ilvl w:val="0"/>
          <w:numId w:val="1"/>
        </w:numPr>
        <w:spacing w:line="360" w:lineRule="auto"/>
        <w:rPr>
          <w:rFonts w:ascii="Calibri" w:hAnsi="Calibri" w:cs="Calibri"/>
        </w:rPr>
      </w:pPr>
      <w:r w:rsidRPr="00467898">
        <w:rPr>
          <w:rFonts w:ascii="Calibri" w:hAnsi="Calibri" w:cs="Calibri"/>
          <w:lang w:val="en-GB"/>
        </w:rPr>
        <w:t xml:space="preserve">McAuley A, Palmateer NE, Goldberg DJ, Trayner KM, Shepherd SJ, Gunson RN, Metcalfe R, Milosevic C, Taylor A, Munro A, Hutchinson SJ. Re-emergence of HIV related to injecting drug use despite a comprehensive harm reduction environment: a cross-sectional analysis. The lancet HIV. 2019 May 1;6(5):e315-24. </w:t>
      </w:r>
      <w:hyperlink r:id="rId25" w:history="1">
        <w:r w:rsidRPr="00467898">
          <w:rPr>
            <w:rStyle w:val="Hyperlink"/>
            <w:rFonts w:ascii="Calibri" w:hAnsi="Calibri" w:cs="Calibri"/>
            <w:lang w:val="en-GB"/>
          </w:rPr>
          <w:t>https://doi.org/10.1016/S2352-3018(19)30036-0</w:t>
        </w:r>
      </w:hyperlink>
    </w:p>
    <w:p w14:paraId="1CB4D169" w14:textId="77777777" w:rsidR="00D021AA" w:rsidRPr="00467898" w:rsidRDefault="00D021AA" w:rsidP="00DD5881">
      <w:pPr>
        <w:pStyle w:val="NormalWeb"/>
        <w:numPr>
          <w:ilvl w:val="0"/>
          <w:numId w:val="1"/>
        </w:numPr>
        <w:spacing w:line="360" w:lineRule="auto"/>
        <w:rPr>
          <w:rStyle w:val="Hyperlink"/>
          <w:rFonts w:ascii="Calibri" w:eastAsia="SimSun" w:hAnsi="Calibri" w:cs="Calibri"/>
        </w:rPr>
      </w:pPr>
      <w:r w:rsidRPr="00467898">
        <w:rPr>
          <w:rFonts w:ascii="Calibri" w:hAnsi="Calibri" w:cs="Calibri"/>
          <w:lang w:val="en-GB"/>
        </w:rPr>
        <w:t xml:space="preserve">Trayner KM, McAuley A, Palmateer NE, Goldberg DJ, Shepherd SJ, Gunson RN, Tweed EJ, Priyadarshi S, Milosevic C, Hutchinson SJ. Increased risk of HIV and other drug-related harms associated with injecting in public places: national bio-behavioural survey of people who inject drugs. International Journal of Drug Policy. 2020 Mar 1;77:102663. </w:t>
      </w:r>
      <w:hyperlink r:id="rId26" w:history="1">
        <w:r w:rsidRPr="00467898">
          <w:rPr>
            <w:rStyle w:val="Hyperlink"/>
            <w:rFonts w:ascii="Calibri" w:eastAsia="SimSun" w:hAnsi="Calibri" w:cs="Calibri"/>
          </w:rPr>
          <w:t>https://doi.org/10.1016/j.drugpo.2020.102663</w:t>
        </w:r>
      </w:hyperlink>
    </w:p>
    <w:p w14:paraId="5FD27A5D" w14:textId="77777777" w:rsidR="00D021AA" w:rsidRPr="00467898" w:rsidRDefault="00D021AA" w:rsidP="00DD5881">
      <w:pPr>
        <w:pStyle w:val="NormalWeb"/>
        <w:numPr>
          <w:ilvl w:val="0"/>
          <w:numId w:val="1"/>
        </w:numPr>
        <w:spacing w:line="360" w:lineRule="auto"/>
        <w:rPr>
          <w:rStyle w:val="Hyperlink"/>
          <w:rFonts w:ascii="Calibri" w:hAnsi="Calibri" w:cs="Calibri"/>
          <w:color w:val="auto"/>
          <w:u w:val="none"/>
        </w:rPr>
      </w:pPr>
      <w:r w:rsidRPr="00467898">
        <w:rPr>
          <w:rFonts w:ascii="Calibri" w:hAnsi="Calibri" w:cs="Calibri"/>
          <w:lang w:val="en-GB"/>
        </w:rPr>
        <w:t xml:space="preserve">Markoulidakis A, Hickman M, McAuley A, Barnsdale LR, Welton NJ, Glancy M, Shivaji T, Collins C, Lang J, de Wit F, Hunt G. Prevalence of opioid dependence in Scotland 2015–2020: a multi‐parameter estimation of prevalence (MPEP) study. Addiction. 2024 Aug;119(8):1410-20. </w:t>
      </w:r>
      <w:hyperlink r:id="rId27" w:tgtFrame="_new" w:history="1">
        <w:r w:rsidRPr="00467898">
          <w:rPr>
            <w:rStyle w:val="Hyperlink"/>
            <w:rFonts w:ascii="Calibri" w:hAnsi="Calibri" w:cs="Calibri"/>
          </w:rPr>
          <w:t>https://doi.org/10.1111/add.16500</w:t>
        </w:r>
      </w:hyperlink>
    </w:p>
    <w:p w14:paraId="28AD3E18" w14:textId="77777777" w:rsidR="00D021AA" w:rsidRPr="00467898" w:rsidRDefault="00D021AA" w:rsidP="00DD5881">
      <w:pPr>
        <w:pStyle w:val="NormalWeb"/>
        <w:numPr>
          <w:ilvl w:val="0"/>
          <w:numId w:val="1"/>
        </w:numPr>
        <w:spacing w:line="360" w:lineRule="auto"/>
        <w:rPr>
          <w:rFonts w:ascii="Calibri" w:eastAsia="SimSun" w:hAnsi="Calibri" w:cs="Calibri"/>
          <w:color w:val="467886" w:themeColor="hyperlink"/>
          <w:u w:val="single"/>
        </w:rPr>
      </w:pPr>
      <w:r w:rsidRPr="00467898">
        <w:rPr>
          <w:rFonts w:ascii="Calibri" w:hAnsi="Calibri" w:cs="Calibri"/>
          <w:lang w:val="en-GB"/>
        </w:rPr>
        <w:lastRenderedPageBreak/>
        <w:t xml:space="preserve">Pierce M, Millar T, Robertson JR, Bird SM. Ageing opioid users’ increased risk of methadone-specific death in the UK. International Journal of Drug Policy. 2018 May 1;55:121-7. </w:t>
      </w:r>
      <w:hyperlink r:id="rId28" w:history="1">
        <w:r w:rsidRPr="00467898">
          <w:rPr>
            <w:rStyle w:val="Hyperlink"/>
            <w:rFonts w:ascii="Calibri" w:eastAsia="SimSun" w:hAnsi="Calibri" w:cs="Calibri"/>
          </w:rPr>
          <w:t>https://doi.org/10.1016/j.drugpo.2018.02.005</w:t>
        </w:r>
      </w:hyperlink>
    </w:p>
    <w:p w14:paraId="1933DF4F" w14:textId="77777777" w:rsidR="00D021AA" w:rsidRPr="00467898" w:rsidRDefault="00D021AA" w:rsidP="00DD5881">
      <w:pPr>
        <w:pStyle w:val="NormalWeb"/>
        <w:numPr>
          <w:ilvl w:val="0"/>
          <w:numId w:val="1"/>
        </w:numPr>
        <w:spacing w:line="360" w:lineRule="auto"/>
        <w:rPr>
          <w:rFonts w:ascii="Calibri" w:hAnsi="Calibri" w:cs="Calibri"/>
          <w:lang w:val="en-GB"/>
        </w:rPr>
      </w:pPr>
      <w:r w:rsidRPr="00467898">
        <w:rPr>
          <w:rFonts w:ascii="Calibri" w:hAnsi="Calibri" w:cs="Calibri"/>
          <w:lang w:val="en-GB"/>
        </w:rPr>
        <w:t xml:space="preserve">Basso C, Marra MP, Thiene G. Cocaine and the heart: more than just coronary disease. Heart. 2011 Dec 15;97(24):1995-6. </w:t>
      </w:r>
      <w:hyperlink r:id="rId29" w:tgtFrame="_new" w:history="1">
        <w:r w:rsidRPr="00467898">
          <w:rPr>
            <w:rStyle w:val="Hyperlink"/>
            <w:rFonts w:ascii="Calibri" w:hAnsi="Calibri" w:cs="Calibri"/>
            <w:lang w:val="en-GB"/>
          </w:rPr>
          <w:t>https://doi.org/10.1136/heartjnl-2011-300736</w:t>
        </w:r>
      </w:hyperlink>
    </w:p>
    <w:p w14:paraId="760AA333" w14:textId="77777777" w:rsidR="00D021AA" w:rsidRPr="00467898" w:rsidRDefault="00D021AA" w:rsidP="00DD5881">
      <w:pPr>
        <w:pStyle w:val="NormalWeb"/>
        <w:numPr>
          <w:ilvl w:val="0"/>
          <w:numId w:val="1"/>
        </w:numPr>
        <w:spacing w:line="360" w:lineRule="auto"/>
        <w:rPr>
          <w:rFonts w:ascii="Calibri" w:eastAsia="SimSun" w:hAnsi="Calibri" w:cs="Calibri"/>
          <w:color w:val="467886" w:themeColor="hyperlink"/>
          <w:u w:val="single"/>
        </w:rPr>
      </w:pPr>
      <w:r w:rsidRPr="00467898">
        <w:rPr>
          <w:rFonts w:ascii="Calibri" w:hAnsi="Calibri" w:cs="Calibri"/>
          <w:lang w:val="en-GB"/>
        </w:rPr>
        <w:t>Ellis MS, Kasper ZA, Cicero TJ. Twin epidemics: the surging rise of methamphetamine use in chronic opioid users. Drug and alcohol dependence. 2018 Dec 1;193:14-20.</w:t>
      </w:r>
      <w:hyperlink r:id="rId30" w:history="1">
        <w:r w:rsidRPr="00467898">
          <w:rPr>
            <w:rStyle w:val="Hyperlink"/>
            <w:rFonts w:ascii="Calibri" w:eastAsia="SimSun" w:hAnsi="Calibri" w:cs="Calibri"/>
          </w:rPr>
          <w:t>https://doi.org/10.1016/j.drugalcdep.2018.08.029</w:t>
        </w:r>
      </w:hyperlink>
    </w:p>
    <w:p w14:paraId="333751BC" w14:textId="720077F9" w:rsidR="00D021AA" w:rsidRDefault="00D021AA" w:rsidP="00DD5881">
      <w:pPr>
        <w:pStyle w:val="NormalWeb"/>
        <w:numPr>
          <w:ilvl w:val="0"/>
          <w:numId w:val="1"/>
        </w:numPr>
        <w:spacing w:line="360" w:lineRule="auto"/>
        <w:rPr>
          <w:rFonts w:ascii="Calibri" w:hAnsi="Calibri" w:cs="Calibri"/>
          <w:lang w:val="en-GB"/>
        </w:rPr>
      </w:pPr>
      <w:r w:rsidRPr="00467898">
        <w:rPr>
          <w:rFonts w:ascii="Calibri" w:hAnsi="Calibri" w:cs="Calibri"/>
          <w:lang w:val="en-GB"/>
        </w:rPr>
        <w:t>Chow SL, Sasson C, Benjamin IJ, Califf RM, Compton WM, Oliva EM, Robson C, Sanchez EJ, American Heart Association. Opioid use and its relationship to cardiovascular disease and brain health: a presidential advisory from the American Heart Association. Circulation. 2021 Sep 28;144(13):e218-32.</w:t>
      </w:r>
      <w:r>
        <w:rPr>
          <w:rFonts w:ascii="Calibri" w:hAnsi="Calibri" w:cs="Calibri" w:hint="eastAsia"/>
          <w:lang w:val="en-GB"/>
        </w:rPr>
        <w:t xml:space="preserve"> </w:t>
      </w:r>
      <w:hyperlink r:id="rId31" w:history="1">
        <w:r w:rsidRPr="0001159D">
          <w:rPr>
            <w:rStyle w:val="Hyperlink"/>
            <w:rFonts w:ascii="Calibri" w:hAnsi="Calibri" w:cs="Calibri"/>
            <w:lang w:val="en-GB"/>
          </w:rPr>
          <w:t>https://doi.org/10.1161/CIR.0000000000001007</w:t>
        </w:r>
      </w:hyperlink>
    </w:p>
    <w:p w14:paraId="3129258A" w14:textId="77777777" w:rsidR="00EF37F7" w:rsidRDefault="00EF37F7" w:rsidP="00EF37F7">
      <w:pPr>
        <w:pStyle w:val="NormalWeb"/>
        <w:spacing w:line="360" w:lineRule="auto"/>
        <w:rPr>
          <w:rFonts w:ascii="Calibri" w:hAnsi="Calibri" w:cs="Calibri"/>
          <w:lang w:val="en-GB"/>
        </w:rPr>
      </w:pPr>
    </w:p>
    <w:p w14:paraId="24BD9881" w14:textId="77777777" w:rsidR="00EF37F7" w:rsidRDefault="00EF37F7" w:rsidP="00EF37F7">
      <w:pPr>
        <w:pStyle w:val="NormalWeb"/>
        <w:spacing w:line="360" w:lineRule="auto"/>
        <w:rPr>
          <w:rFonts w:ascii="Calibri" w:hAnsi="Calibri" w:cs="Calibri"/>
          <w:lang w:val="en-GB"/>
        </w:rPr>
      </w:pPr>
    </w:p>
    <w:p w14:paraId="400041D4" w14:textId="77777777" w:rsidR="000511D2" w:rsidRPr="000511D2" w:rsidRDefault="000511D2" w:rsidP="000511D2">
      <w:pPr>
        <w:pStyle w:val="NormalWeb"/>
        <w:spacing w:line="360" w:lineRule="auto"/>
        <w:rPr>
          <w:rFonts w:ascii="Calibri" w:hAnsi="Calibri" w:cs="Calibri"/>
        </w:rPr>
      </w:pPr>
    </w:p>
    <w:p w14:paraId="64EA2958" w14:textId="77777777" w:rsidR="000511D2" w:rsidRDefault="000511D2" w:rsidP="000511D2">
      <w:pPr>
        <w:pStyle w:val="NormalWeb"/>
        <w:spacing w:line="360" w:lineRule="auto"/>
        <w:rPr>
          <w:rFonts w:ascii="Calibri" w:hAnsi="Calibri" w:cs="Calibri"/>
          <w:b/>
          <w:bCs/>
        </w:rPr>
      </w:pPr>
      <w:r w:rsidRPr="000511D2">
        <w:rPr>
          <w:rFonts w:ascii="Calibri" w:hAnsi="Calibri" w:cs="Calibri"/>
          <w:b/>
          <w:bCs/>
        </w:rPr>
        <w:t xml:space="preserve">Supplementary Material </w:t>
      </w:r>
    </w:p>
    <w:p w14:paraId="04C6D3C1" w14:textId="77777777" w:rsidR="000511D2" w:rsidRDefault="000511D2" w:rsidP="000511D2">
      <w:pPr>
        <w:pStyle w:val="NormalWeb"/>
        <w:spacing w:line="360" w:lineRule="auto"/>
        <w:rPr>
          <w:rFonts w:ascii="Calibri" w:hAnsi="Calibri" w:cs="Calibri"/>
          <w:b/>
          <w:bCs/>
        </w:rPr>
      </w:pPr>
    </w:p>
    <w:p w14:paraId="3BCED329" w14:textId="42C26BB9" w:rsidR="00952342" w:rsidRPr="00952342" w:rsidRDefault="00952342" w:rsidP="00952342">
      <w:pPr>
        <w:pStyle w:val="NormalWeb"/>
        <w:spacing w:line="360" w:lineRule="auto"/>
        <w:jc w:val="center"/>
        <w:rPr>
          <w:rFonts w:ascii="Calibri" w:hAnsi="Calibri" w:cs="Calibri"/>
          <w:b/>
          <w:bCs/>
        </w:rPr>
      </w:pPr>
      <w:r w:rsidRPr="00952342">
        <w:rPr>
          <w:rFonts w:ascii="Calibri" w:hAnsi="Calibri" w:cs="Calibri"/>
          <w:b/>
          <w:bCs/>
        </w:rPr>
        <w:t xml:space="preserve">Table </w:t>
      </w:r>
      <w:r>
        <w:rPr>
          <w:rFonts w:ascii="Calibri" w:hAnsi="Calibri" w:cs="Calibri"/>
          <w:b/>
          <w:bCs/>
        </w:rPr>
        <w:t>3</w:t>
      </w:r>
      <w:r w:rsidRPr="00952342">
        <w:rPr>
          <w:rFonts w:ascii="Calibri" w:hAnsi="Calibri" w:cs="Calibri"/>
          <w:b/>
          <w:bCs/>
        </w:rPr>
        <w:t xml:space="preserve">. </w:t>
      </w:r>
      <w:r w:rsidRPr="00952342">
        <w:rPr>
          <w:rFonts w:ascii="Calibri" w:hAnsi="Calibri" w:cs="Calibri"/>
          <w:b/>
          <w:bCs/>
          <w:lang w:val="en-GB"/>
        </w:rPr>
        <w:t xml:space="preserve">Poisson </w:t>
      </w:r>
      <w:r>
        <w:rPr>
          <w:rFonts w:ascii="Calibri" w:hAnsi="Calibri" w:cs="Calibri"/>
          <w:b/>
          <w:bCs/>
          <w:lang w:val="en-GB"/>
        </w:rPr>
        <w:t>R</w:t>
      </w:r>
      <w:r w:rsidRPr="00952342">
        <w:rPr>
          <w:rFonts w:ascii="Calibri" w:hAnsi="Calibri" w:cs="Calibri"/>
          <w:b/>
          <w:bCs/>
          <w:lang w:val="en-GB"/>
        </w:rPr>
        <w:t xml:space="preserve">egression </w:t>
      </w:r>
      <w:r>
        <w:rPr>
          <w:rFonts w:ascii="Calibri" w:hAnsi="Calibri" w:cs="Calibri"/>
          <w:b/>
          <w:bCs/>
          <w:lang w:val="en-GB"/>
        </w:rPr>
        <w:t>R</w:t>
      </w:r>
      <w:r w:rsidRPr="00952342">
        <w:rPr>
          <w:rFonts w:ascii="Calibri" w:hAnsi="Calibri" w:cs="Calibri"/>
          <w:b/>
          <w:bCs/>
          <w:lang w:val="en-GB"/>
        </w:rPr>
        <w:t xml:space="preserve">esults </w:t>
      </w:r>
    </w:p>
    <w:tbl>
      <w:tblPr>
        <w:tblW w:w="8651" w:type="dxa"/>
        <w:jc w:val="center"/>
        <w:tblCellMar>
          <w:top w:w="15" w:type="dxa"/>
          <w:left w:w="15" w:type="dxa"/>
          <w:bottom w:w="15" w:type="dxa"/>
          <w:right w:w="15" w:type="dxa"/>
        </w:tblCellMar>
        <w:tblLook w:val="04A0" w:firstRow="1" w:lastRow="0" w:firstColumn="1" w:lastColumn="0" w:noHBand="0" w:noVBand="1"/>
      </w:tblPr>
      <w:tblGrid>
        <w:gridCol w:w="2099"/>
        <w:gridCol w:w="2447"/>
        <w:gridCol w:w="975"/>
        <w:gridCol w:w="1551"/>
        <w:gridCol w:w="1579"/>
      </w:tblGrid>
      <w:tr w:rsidR="00952342" w:rsidRPr="00BD1807" w14:paraId="41E5728D"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9A69660"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Outcome / Model</w:t>
            </w: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6E3AA28"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Covariate</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7038CBC"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IRR</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E3AD7B8"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95% CI</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2729C5D"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p-value</w:t>
            </w:r>
          </w:p>
        </w:tc>
      </w:tr>
      <w:tr w:rsidR="00952342" w:rsidRPr="00BD1807" w14:paraId="709ABE89"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A68721A"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b/>
                <w:bCs/>
                <w:lang w:val="en-GB"/>
              </w:rPr>
              <w:t xml:space="preserve">DRD – </w:t>
            </w:r>
            <w:r w:rsidRPr="00BD1807">
              <w:rPr>
                <w:rFonts w:ascii="Calibri" w:hAnsi="Calibri" w:cs="Calibri"/>
                <w:lang w:val="en-GB"/>
              </w:rPr>
              <w:t>drug only</w:t>
            </w: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3EE11FC"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Intercept</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F34AF69"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0.017</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33A3832"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0.016–0.017</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B8AA2F7"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57668B70"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B8C81AE"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857F069" w14:textId="2737546C" w:rsidR="00BD1807" w:rsidRPr="00BD1807" w:rsidRDefault="00952342" w:rsidP="00BD1807">
            <w:pPr>
              <w:pStyle w:val="NormalWeb"/>
              <w:spacing w:line="360" w:lineRule="auto"/>
              <w:rPr>
                <w:rFonts w:ascii="Calibri" w:hAnsi="Calibri" w:cs="Calibri"/>
              </w:rPr>
            </w:pPr>
            <w:r w:rsidRPr="00952342">
              <w:rPr>
                <w:rFonts w:ascii="Calibri" w:hAnsi="Calibri" w:cs="Calibri"/>
              </w:rPr>
              <w:t>drugpoly</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0AEE441"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0.91</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07771F9"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0.84–0.99</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15C278F"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0.035</w:t>
            </w:r>
          </w:p>
        </w:tc>
      </w:tr>
      <w:tr w:rsidR="00952342" w:rsidRPr="00BD1807" w14:paraId="3AB550CA"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4003682"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b/>
                <w:bCs/>
                <w:lang w:val="en-GB"/>
              </w:rPr>
              <w:lastRenderedPageBreak/>
              <w:t xml:space="preserve">DRD – </w:t>
            </w:r>
            <w:r w:rsidRPr="00BD1807">
              <w:rPr>
                <w:rFonts w:ascii="Calibri" w:hAnsi="Calibri" w:cs="Calibri"/>
                <w:lang w:val="en-GB"/>
              </w:rPr>
              <w:t>fully adjusted</w:t>
            </w: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737E580"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Intercept</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66C5C41"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0.008</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61C1402"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0.006–0.009</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E388E3B"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101931B3"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8E929AD"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3F0B8F4" w14:textId="77E92FA7" w:rsidR="00BD1807" w:rsidRPr="00BD1807" w:rsidRDefault="00952342" w:rsidP="00BD1807">
            <w:pPr>
              <w:pStyle w:val="NormalWeb"/>
              <w:spacing w:line="360" w:lineRule="auto"/>
              <w:rPr>
                <w:rFonts w:ascii="Calibri" w:hAnsi="Calibri" w:cs="Calibri"/>
              </w:rPr>
            </w:pPr>
            <w:r w:rsidRPr="00952342">
              <w:rPr>
                <w:rFonts w:ascii="Calibri" w:hAnsi="Calibri" w:cs="Calibri"/>
              </w:rPr>
              <w:t>drugpoly</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4F419B8"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0.99</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38B80B5"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0.91–1.08</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9D589ED"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0.88</w:t>
            </w:r>
          </w:p>
        </w:tc>
      </w:tr>
      <w:tr w:rsidR="00952342" w:rsidRPr="00BD1807" w14:paraId="4852501C"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1946962"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59BA7C6"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age 35–49</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F80223B"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1.39</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1AE2054"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1.26–1.53</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01B09C3"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495128A3"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8D82CF3"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8411389"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age 50–64</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3973D85"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1.60</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C1FED7C"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1.41–1.81</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FE68389"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46BB3DFD"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990D772"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4A60F46"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sex (M)</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1A4C8A0"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1.06</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9B14D96"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0.99–1.15</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1FA3476"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0.12</w:t>
            </w:r>
          </w:p>
        </w:tc>
      </w:tr>
      <w:tr w:rsidR="00952342" w:rsidRPr="00BD1807" w14:paraId="50C3214D"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845EE10"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DCAA132"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2016</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196DCA5"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1.51</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39B8BD8"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1.26–1.82</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150B882"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1D9B66A9"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8E16B26"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AD88B64"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2017</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0683519"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1.74</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8C9DBA5"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1.46–2.09</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2FC2170"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026F2DAF"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DBE11DF"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FC09CDC"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2018</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B4E7FB6"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2.21</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D863026"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1.86–2.62</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FF20322"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1FAE4D85"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E384FA3"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15421D8"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2019</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3A32F2A"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2.56</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65533FA"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2.17–3.03</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DB7CFDE"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5CB98502"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CE0A0EF"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08AE4D0"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2020</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B78E04B"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2.73</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7418A31"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2.31–3.23</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85F57D6"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05FF798F"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4307684"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23F8928"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2021</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A7DB041"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2.57</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2DF7699"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2.18–3.05</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1D57BE9"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63391824"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4E71A3F"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0E6BEAD"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2022</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F2DB9E1"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2.34</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840CE12"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1.98–2.79</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92E6081"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60124B49"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06010C5"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0701A6E"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board (Tayside vs Greater Glasgow &amp; Clyde)</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7B29EAB"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1.18</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A7DBC24"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1.03–1.34</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4A7AFDB"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0.015</w:t>
            </w:r>
          </w:p>
        </w:tc>
      </w:tr>
      <w:tr w:rsidR="00952342" w:rsidRPr="00BD1807" w14:paraId="0DA35DC2"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8DF0A8F"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FA4DE06"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board (Other NHS regions vs GGC)</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2E6705C"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1.00</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D714DA4"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0.92–1.08</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EBC6CB6"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0.98</w:t>
            </w:r>
          </w:p>
        </w:tc>
      </w:tr>
      <w:tr w:rsidR="00952342" w:rsidRPr="00BD1807" w14:paraId="47B916E1"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F509492"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1608E9C"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accommodation (Missing vs Homeless)</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04BF440"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1.44</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CE62594"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1.25–1.65</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43C4893"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02C42E66"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2AF89BC"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343BC86"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accommodation (Other vs Homeless)</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8A4489C"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0.80</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18239AC"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0.68–0.93</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BEB73BF"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0.004</w:t>
            </w:r>
          </w:p>
        </w:tc>
      </w:tr>
      <w:tr w:rsidR="00952342" w:rsidRPr="00BD1807" w14:paraId="70CE6149"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B34A186"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D255A6F"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accommodation (Owned/Rented vs Homeless)</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D0B537A"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0.62</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68E529A"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0.55–0.70</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D03AB45"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4C800858"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8772AF3"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b/>
                <w:bCs/>
                <w:lang w:val="en-GB"/>
              </w:rPr>
              <w:t xml:space="preserve">ACM – </w:t>
            </w:r>
            <w:r w:rsidRPr="00BD1807">
              <w:rPr>
                <w:rFonts w:ascii="Calibri" w:hAnsi="Calibri" w:cs="Calibri"/>
                <w:lang w:val="en-GB"/>
              </w:rPr>
              <w:t>drug only</w:t>
            </w: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EB788D0"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Intercept</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20879E9"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0.029</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A39E47E"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0.028–0.030</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9FF9190"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62F4E4E8"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6CCF94C"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084D6F0" w14:textId="406AA08C" w:rsidR="00BD1807" w:rsidRPr="00BD1807" w:rsidRDefault="00952342" w:rsidP="00BD1807">
            <w:pPr>
              <w:pStyle w:val="NormalWeb"/>
              <w:spacing w:line="360" w:lineRule="auto"/>
              <w:rPr>
                <w:rFonts w:ascii="Calibri" w:hAnsi="Calibri" w:cs="Calibri"/>
                <w:lang w:val="en-GB"/>
              </w:rPr>
            </w:pPr>
            <w:r w:rsidRPr="00952342">
              <w:rPr>
                <w:rFonts w:ascii="Calibri" w:hAnsi="Calibri" w:cs="Calibri"/>
              </w:rPr>
              <w:t>drugpoly</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3369877"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0.81</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08400EC"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0.75–0.87</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3242298"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p w14:paraId="3C4FF849" w14:textId="77777777" w:rsidR="00BD1807" w:rsidRPr="00BD1807" w:rsidRDefault="00BD1807" w:rsidP="00BD1807">
            <w:pPr>
              <w:pStyle w:val="NormalWeb"/>
              <w:spacing w:line="360" w:lineRule="auto"/>
              <w:rPr>
                <w:rFonts w:ascii="Calibri" w:hAnsi="Calibri" w:cs="Calibri"/>
                <w:sz w:val="22"/>
                <w:szCs w:val="22"/>
                <w:lang w:val="en-GB"/>
              </w:rPr>
            </w:pPr>
          </w:p>
        </w:tc>
      </w:tr>
      <w:tr w:rsidR="00952342" w:rsidRPr="00BD1807" w14:paraId="1035687C"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7FE70B2"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b/>
                <w:bCs/>
                <w:lang w:val="en-GB"/>
              </w:rPr>
              <w:t xml:space="preserve">ACM – </w:t>
            </w:r>
            <w:r w:rsidRPr="00BD1807">
              <w:rPr>
                <w:rFonts w:ascii="Calibri" w:hAnsi="Calibri" w:cs="Calibri"/>
                <w:lang w:val="en-GB"/>
              </w:rPr>
              <w:t>fully adjusted</w:t>
            </w: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7364365"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Intercept</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7C42E4A"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0.014</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C30BA5A"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0.012–0.016</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469F6FF"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55003601"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BF61A56"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B5D4569" w14:textId="64D1BD0A" w:rsidR="00BD1807" w:rsidRPr="00BD1807" w:rsidRDefault="00952342" w:rsidP="00BD1807">
            <w:pPr>
              <w:pStyle w:val="NormalWeb"/>
              <w:spacing w:line="360" w:lineRule="auto"/>
              <w:rPr>
                <w:rFonts w:ascii="Calibri" w:hAnsi="Calibri" w:cs="Calibri"/>
                <w:lang w:val="en-GB"/>
              </w:rPr>
            </w:pPr>
            <w:r w:rsidRPr="00952342">
              <w:rPr>
                <w:rFonts w:ascii="Calibri" w:hAnsi="Calibri" w:cs="Calibri"/>
              </w:rPr>
              <w:t>drugpoly</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43CA3D7"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0.92</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56628A7"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0.86–0.99</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B325552"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0.020</w:t>
            </w:r>
          </w:p>
        </w:tc>
      </w:tr>
      <w:tr w:rsidR="00952342" w:rsidRPr="00BD1807" w14:paraId="17727792"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424B117"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EAA61FA"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age 35–49</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97D6426"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1.49</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A77E5B7"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1.37–1.61</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4B46424"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28E358D2"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D61E240"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F316C4B"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age 50–64</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614582E"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2.48</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587BBDF"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2.26–2.72</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33F27B7"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69168D07"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4D332C1"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54EE504"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sex (M vs F)</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EB48831"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1.08</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ED9B36A"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1.01–1.14</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0C4CDC4"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0.016</w:t>
            </w:r>
          </w:p>
        </w:tc>
      </w:tr>
      <w:tr w:rsidR="00952342" w:rsidRPr="00BD1807" w14:paraId="215F8F05"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12D218F"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B6D2086"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2016</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48589A7"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1.26</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1FE7E66"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1.11–1.43</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B43C167"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7E023BB2"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9FE7D5E"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31C7515"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2017</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5C4A315"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1.42</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3B15184"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1.25–1.61</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4911C93"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2FD4011F"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6B90517"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3050CB5"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2018</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3C5754A"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1.54</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9316355"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1.37–1.75</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6BCB0B6"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7C0858CA"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33BD548"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9720EE2"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2019</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7B1EB51"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1.79</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F9D3587"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1.58–2.02</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D1B513C"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6883ED14"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7433019"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7990C85"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2020</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5821132"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1.91</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9DAA4EC"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1.70–2.16</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3F5D1F1"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27A0A7EE"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82B1300"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784AEB6"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2021</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82F2913"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1.96</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4479725"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1.75–2.22</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97E26BA"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03CD2852"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95720B0"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E8DE7DC"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2022</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504E0A7"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1.88</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72B38B7"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1.67–2.13</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02B9A59"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65B6452C"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090790D"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180C874"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board (Other NHS regions vs GGC)</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496F729"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1.06</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E94C4D2"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1.00–1.13</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C4F9FE8"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0.065</w:t>
            </w:r>
          </w:p>
        </w:tc>
      </w:tr>
      <w:tr w:rsidR="00952342" w:rsidRPr="00BD1807" w14:paraId="1D6AC647"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C88842D"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C4367FF"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board (Tayside vs GGC)</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0F97D94"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1.18</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E53455E"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1.06–1.31</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B99269A"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0.001</w:t>
            </w:r>
          </w:p>
        </w:tc>
      </w:tr>
      <w:tr w:rsidR="00952342" w:rsidRPr="00BD1807" w14:paraId="4E98C4A6"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4454D96"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1BE4B63"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accommodation (Missing vs Homeless)</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C5ECAEA"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1.42</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B9B4474"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1.28–1.58</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E9E00FD"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6F8327D9"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5BCECDE"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BD7F550"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accommodation (Other vs Homeless)</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6EAD0C9"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0.77</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95876E0"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0.68–0.87</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1D550A3"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3D1D04D4"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59C973D"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362BCD4"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accommodation (Owned/Rented vs Homeless)</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DF2D74C"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0.64</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83A66FD"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0.58–0.70</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38DAC70"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4214A857"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D4EFF13"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b/>
                <w:bCs/>
                <w:lang w:val="en-GB"/>
              </w:rPr>
              <w:t xml:space="preserve">NFOD – </w:t>
            </w:r>
            <w:r w:rsidRPr="00BD1807">
              <w:rPr>
                <w:rFonts w:ascii="Calibri" w:hAnsi="Calibri" w:cs="Calibri"/>
                <w:lang w:val="en-GB"/>
              </w:rPr>
              <w:t>drug only</w:t>
            </w: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A9C4F5F"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Intercept</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99DD6B0"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0.044</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741FC6D"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0.043–0.045</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97D96F2"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5B46280A"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D8AF70F"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734D20A" w14:textId="27F9BFF3" w:rsidR="00BD1807" w:rsidRPr="00BD1807" w:rsidRDefault="00952342" w:rsidP="00BD1807">
            <w:pPr>
              <w:pStyle w:val="NormalWeb"/>
              <w:spacing w:line="360" w:lineRule="auto"/>
              <w:rPr>
                <w:rFonts w:ascii="Calibri" w:hAnsi="Calibri" w:cs="Calibri"/>
                <w:lang w:val="en-GB"/>
              </w:rPr>
            </w:pPr>
            <w:r w:rsidRPr="00952342">
              <w:rPr>
                <w:rFonts w:ascii="Calibri" w:hAnsi="Calibri" w:cs="Calibri"/>
              </w:rPr>
              <w:t>drugpoly</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06AB06F"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1.89</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7FF7442"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1.82–1.97</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E1BCAF7"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10BC2D02"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D7AFE52"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b/>
                <w:bCs/>
                <w:lang w:val="en-GB"/>
              </w:rPr>
              <w:t xml:space="preserve">NFOD – </w:t>
            </w:r>
            <w:r w:rsidRPr="00BD1807">
              <w:rPr>
                <w:rFonts w:ascii="Calibri" w:hAnsi="Calibri" w:cs="Calibri"/>
                <w:lang w:val="en-GB"/>
              </w:rPr>
              <w:t>fully adjusted</w:t>
            </w: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27B5ED6"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Intercept</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1F229C9"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0.046</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239C908"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0.041–0.050</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DE1F68B"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72596F1B"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E17589B"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0AEF29A" w14:textId="0F6B9B21" w:rsidR="00BD1807" w:rsidRPr="00BD1807" w:rsidRDefault="00952342" w:rsidP="00BD1807">
            <w:pPr>
              <w:pStyle w:val="NormalWeb"/>
              <w:spacing w:line="360" w:lineRule="auto"/>
              <w:rPr>
                <w:rFonts w:ascii="Calibri" w:hAnsi="Calibri" w:cs="Calibri"/>
                <w:lang w:val="en-GB"/>
              </w:rPr>
            </w:pPr>
            <w:r w:rsidRPr="00952342">
              <w:rPr>
                <w:rFonts w:ascii="Calibri" w:hAnsi="Calibri" w:cs="Calibri"/>
              </w:rPr>
              <w:t>drugpoly</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29DAB93"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1.68</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5CC1800"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1.61–1.75</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1C15EAB"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4F4F906A"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C08465C"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4802964"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age 35–49</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3C09F72"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0.78</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FB1A224"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0.75–0.82</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CA63517"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6CC6B8D8"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A642347"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EAA1C6E"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age 50–64</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F11864C"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0.70</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E59DF62"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0.65–0.75</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8DBA146"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23E41A74"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EAE1C13"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877C412"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sex (M vs F)</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5A99EBC"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1.12</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73B74FB"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1.07–1.17</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F037D20"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13FFEDBF"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0D7A837"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C5CF1D0"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2016</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4B59C5E"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1.35</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63CA56F"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1.22–1.49</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FA33A49"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59747110"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C506917"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3DC73BF"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2017</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B511871"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1.78</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123676A"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1.63–1.96</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6432879"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6A02008D"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3225B1C"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80E3B61"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2018</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508DBE5"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2.18</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FE8AA00"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2.00–2.39</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BCE7240"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5BE4ADB3"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9DC1270"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ABC3E23"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2019</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2A88A52"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2.52</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6CF622C"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2.31–2.76</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CF631E4"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6C07E1E5"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EE89CDE"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CD6DF9D"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2020</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A4D8AB1"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2.32</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BCE5721"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2.12–2.53</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5F17AFC"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70336BD9"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57211EB"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4262470"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2021</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6509BC7"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2.24</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D74F8E3"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2.05–2.45</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B7CDCE8"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4AFE75D0"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FBD4D2D"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C46C68A"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2022</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23B541A"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1.35</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9165D96"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1.22–1.49</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A110BCD"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2090C060"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EFA8B33"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CBAE6D1"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board (Other NHS regions vs GGC)</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93597BF"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0.99</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80B6097"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0.95–1.04</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7855168"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0.78</w:t>
            </w:r>
          </w:p>
        </w:tc>
      </w:tr>
      <w:tr w:rsidR="00952342" w:rsidRPr="00BD1807" w14:paraId="1E45C98C"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C30E230"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A6237EF"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board (Tayside vs GGC)</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508A644"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1.45</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7DF3B66"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1.35–1.55</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9F6707A"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72F92CE4"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651AF70"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6C442A4"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accommodation (Missing vs Homeless)</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23D573C"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0.65</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648617B"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0.59–0.70</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1D06681"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7586AC99"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C3C1259"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798D35A"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accommodation (Other vs Homeless)</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CF0D035"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1.15</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D7030B0"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1.08–1.23</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4088297"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71C5EBAF"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A98704E"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5192A97"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accommodation (Owned/Rented vs Homeless)</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183BCEB"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0.47</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5F369F2"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0.44–0.49</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6345C4E"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1F791BB4"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0EF8020"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b/>
                <w:bCs/>
                <w:lang w:val="en-GB"/>
              </w:rPr>
              <w:lastRenderedPageBreak/>
              <w:t xml:space="preserve">CVD – </w:t>
            </w:r>
            <w:r w:rsidRPr="00BD1807">
              <w:rPr>
                <w:rFonts w:ascii="Calibri" w:hAnsi="Calibri" w:cs="Calibri"/>
                <w:lang w:val="en-GB"/>
              </w:rPr>
              <w:t>drug only</w:t>
            </w: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F1326AB"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Intercept</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CBF15D5"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0.035</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9B5708E"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0.034–0.036</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0ABF23E"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410F9AD2"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4288071"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0D41D6F" w14:textId="335F4A81" w:rsidR="00BD1807" w:rsidRPr="00BD1807" w:rsidRDefault="00952342" w:rsidP="00BD1807">
            <w:pPr>
              <w:pStyle w:val="NormalWeb"/>
              <w:spacing w:line="360" w:lineRule="auto"/>
              <w:rPr>
                <w:rFonts w:ascii="Calibri" w:hAnsi="Calibri" w:cs="Calibri"/>
                <w:lang w:val="en-GB"/>
              </w:rPr>
            </w:pPr>
            <w:r w:rsidRPr="00952342">
              <w:rPr>
                <w:rFonts w:ascii="Calibri" w:hAnsi="Calibri" w:cs="Calibri"/>
              </w:rPr>
              <w:t>drugpoly</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479EF83"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0.60</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4E6334E"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0.56–0.65</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E4B1273"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47F2D4BC"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EB34A5A"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b/>
                <w:bCs/>
                <w:lang w:val="en-GB"/>
              </w:rPr>
              <w:t xml:space="preserve">CVD – </w:t>
            </w:r>
            <w:r w:rsidRPr="00BD1807">
              <w:rPr>
                <w:rFonts w:ascii="Calibri" w:hAnsi="Calibri" w:cs="Calibri"/>
                <w:lang w:val="en-GB"/>
              </w:rPr>
              <w:t>fully adjusted</w:t>
            </w: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F380CEE"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Intercept</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454BCB5"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0.015</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1D85912"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0.013–0.017</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3DE0858"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238EB5DB"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9D8160D"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1D2BDD4" w14:textId="56985EE0" w:rsidR="00BD1807" w:rsidRPr="00BD1807" w:rsidRDefault="00952342" w:rsidP="00BD1807">
            <w:pPr>
              <w:pStyle w:val="NormalWeb"/>
              <w:spacing w:line="360" w:lineRule="auto"/>
              <w:rPr>
                <w:rFonts w:ascii="Calibri" w:hAnsi="Calibri" w:cs="Calibri"/>
                <w:lang w:val="en-GB"/>
              </w:rPr>
            </w:pPr>
            <w:r w:rsidRPr="00952342">
              <w:rPr>
                <w:rFonts w:ascii="Calibri" w:hAnsi="Calibri" w:cs="Calibri"/>
              </w:rPr>
              <w:t>drugpoly</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CC91DF9"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0.73</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A8F9687"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0.68–0.78</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18E84F0"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39974675"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4E35968"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0E9A784"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age 35–49</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ECC1BAD"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2.55</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74E9E31"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2.32–2.80</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E17940C"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4CBACD8D"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B76D5E2"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8F84813"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age 50–64</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7F1B5E1"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6.62</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EDB3C52"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6.00–7.32</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BA60FDA"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0153F98D"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56C6C45"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B8268F0"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sex (M vs F)</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50078CE"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1.20</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E276AD4"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1.13–1.27</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93A0163"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480BCC7A"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D994DBF"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D4862B7"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2016</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CFFF303"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0.91</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21AAB3C"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0.84–0.99</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427DB10"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0.035</w:t>
            </w:r>
          </w:p>
        </w:tc>
      </w:tr>
      <w:tr w:rsidR="00952342" w:rsidRPr="00BD1807" w14:paraId="4C4B2213"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7B05218"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24A1A2B"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2017</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FDAA6FB"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0.76</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244D056"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0.70–0.83</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4F95552"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4374615F"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9671355"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25D9B52"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2018</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C1C3A95"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0.67</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2003CE6"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0.61–0.73</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E2D1B13"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0852B0F3"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2C85F90"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C07004A"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2019</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3A2DCB7"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0.60</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9FA3D69"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0.54–0.66</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012B266"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5C25E0BC"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75B0F1A"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B5F3475"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2020</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E6C4870"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0.56</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B23EC06"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0.51–0.61</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C22550E"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14B2A4CE"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42B86A8"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4D9A643"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2021</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CCC19E7"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0.42</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D0A8A49"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0.38–0.47</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867E46B"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602FC4FE"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46934B3"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31783E7"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2022</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82C1CB1"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0.26</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F55A22A"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0.23–0.29</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33B2CBB"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404A2FC7"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3A533EB"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3C58A94"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board (Other NHS regions vs GGC)</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C61F8D4"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1.36</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593A52B"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1.28–1.44</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C345FC0"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1D2E8462"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917B5C3"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DA4FD31"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board (Tayside vs GGC)</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D92044F"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1.17</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5BC3DCA"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1.05–1.29</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19B4838"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0.004</w:t>
            </w:r>
          </w:p>
        </w:tc>
      </w:tr>
      <w:tr w:rsidR="00952342" w:rsidRPr="00BD1807" w14:paraId="0476B116"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C9956A1"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19D2CB7"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accommodation (Missing vs Homeless)</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5C9343C"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1.25</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2E5ADC6"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1.12–1.40</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04865D0"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tc>
      </w:tr>
      <w:tr w:rsidR="00952342" w:rsidRPr="00BD1807" w14:paraId="4676E548"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8744845"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0057083"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accommodation (Other vs Homeless)</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BBA0537"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1.13</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A66EE97"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1.00–1.28</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9DBF5F1"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0.048</w:t>
            </w:r>
          </w:p>
        </w:tc>
      </w:tr>
      <w:tr w:rsidR="00952342" w:rsidRPr="00BD1807" w14:paraId="4D087A6B" w14:textId="77777777" w:rsidTr="00952342">
        <w:trPr>
          <w:trHeight w:val="585"/>
          <w:jc w:val="center"/>
        </w:trPr>
        <w:tc>
          <w:tcPr>
            <w:tcW w:w="209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A46E6FA" w14:textId="77777777" w:rsidR="00BD1807" w:rsidRPr="00BD1807" w:rsidRDefault="00BD1807" w:rsidP="00BD1807">
            <w:pPr>
              <w:pStyle w:val="NormalWeb"/>
              <w:spacing w:line="360" w:lineRule="auto"/>
              <w:rPr>
                <w:rFonts w:ascii="Calibri" w:hAnsi="Calibri" w:cs="Calibri"/>
                <w:lang w:val="en-GB"/>
              </w:rPr>
            </w:pPr>
          </w:p>
        </w:tc>
        <w:tc>
          <w:tcPr>
            <w:tcW w:w="2447"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D17ED45"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accommodation (Owned/Rented vs Homeless)</w:t>
            </w:r>
          </w:p>
        </w:tc>
        <w:tc>
          <w:tcPr>
            <w:tcW w:w="97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9F651D9"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0.85</w:t>
            </w:r>
          </w:p>
        </w:tc>
        <w:tc>
          <w:tcPr>
            <w:tcW w:w="1551"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9AECD53" w14:textId="77777777" w:rsidR="00BD1807"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0.77–0.93</w:t>
            </w:r>
          </w:p>
        </w:tc>
        <w:tc>
          <w:tcPr>
            <w:tcW w:w="157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2079450" w14:textId="77777777" w:rsidR="00BD1807" w:rsidRPr="00BD1807" w:rsidRDefault="00BD1807" w:rsidP="00BD1807">
            <w:pPr>
              <w:pStyle w:val="NormalWeb"/>
              <w:spacing w:line="360" w:lineRule="auto"/>
              <w:rPr>
                <w:rFonts w:ascii="Calibri" w:hAnsi="Calibri" w:cs="Calibri"/>
                <w:sz w:val="22"/>
                <w:szCs w:val="22"/>
                <w:lang w:val="en-GB"/>
              </w:rPr>
            </w:pPr>
            <w:r w:rsidRPr="00BD1807">
              <w:rPr>
                <w:rFonts w:ascii="Calibri" w:hAnsi="Calibri" w:cs="Calibri"/>
                <w:sz w:val="22"/>
                <w:szCs w:val="22"/>
                <w:lang w:val="en-GB"/>
              </w:rPr>
              <w:t>&lt;0.001</w:t>
            </w:r>
          </w:p>
          <w:p w14:paraId="47D18C84" w14:textId="77777777" w:rsidR="00BD1807" w:rsidRPr="00BD1807" w:rsidRDefault="00BD1807" w:rsidP="00BD1807">
            <w:pPr>
              <w:pStyle w:val="NormalWeb"/>
              <w:spacing w:line="360" w:lineRule="auto"/>
              <w:rPr>
                <w:rFonts w:ascii="Calibri" w:hAnsi="Calibri" w:cs="Calibri"/>
                <w:sz w:val="22"/>
                <w:szCs w:val="22"/>
                <w:lang w:val="en-GB"/>
              </w:rPr>
            </w:pPr>
          </w:p>
        </w:tc>
      </w:tr>
    </w:tbl>
    <w:p w14:paraId="26389F1C" w14:textId="7F54C736" w:rsidR="00952342" w:rsidRPr="00BD1807" w:rsidRDefault="00BD1807" w:rsidP="00BD1807">
      <w:pPr>
        <w:pStyle w:val="NormalWeb"/>
        <w:spacing w:line="360" w:lineRule="auto"/>
        <w:rPr>
          <w:rFonts w:ascii="Calibri" w:hAnsi="Calibri" w:cs="Calibri"/>
          <w:lang w:val="en-GB"/>
        </w:rPr>
      </w:pPr>
      <w:r w:rsidRPr="00BD1807">
        <w:rPr>
          <w:rFonts w:ascii="Calibri" w:hAnsi="Calibri" w:cs="Calibri"/>
          <w:lang w:val="en-GB"/>
        </w:rPr>
        <w:t xml:space="preserve">Reference categories: </w:t>
      </w:r>
      <w:r w:rsidR="00952342" w:rsidRPr="00952342">
        <w:rPr>
          <w:rFonts w:ascii="Calibri" w:hAnsi="Calibri" w:cs="Calibri"/>
          <w:lang w:val="en-GB"/>
        </w:rPr>
        <w:t xml:space="preserve">opioid </w:t>
      </w:r>
      <w:r w:rsidR="00952342">
        <w:rPr>
          <w:rFonts w:ascii="Calibri" w:hAnsi="Calibri" w:cs="Calibri"/>
          <w:lang w:val="en-GB"/>
        </w:rPr>
        <w:t>only,</w:t>
      </w:r>
      <w:r w:rsidR="00952342" w:rsidRPr="00BD1807">
        <w:rPr>
          <w:rFonts w:ascii="Calibri" w:hAnsi="Calibri" w:cs="Calibri"/>
          <w:lang w:val="en-GB"/>
        </w:rPr>
        <w:t xml:space="preserve"> </w:t>
      </w:r>
      <w:r w:rsidRPr="00BD1807">
        <w:rPr>
          <w:rFonts w:ascii="Calibri" w:hAnsi="Calibri" w:cs="Calibri"/>
          <w:lang w:val="en-GB"/>
        </w:rPr>
        <w:t>age 15–34 years, female sex, calendar year 2015, Greater Glasgow &amp; Clyde</w:t>
      </w:r>
      <w:r w:rsidR="00952342">
        <w:rPr>
          <w:rFonts w:ascii="Calibri" w:hAnsi="Calibri" w:cs="Calibri"/>
          <w:lang w:val="en-GB"/>
        </w:rPr>
        <w:t xml:space="preserve"> (GGC)</w:t>
      </w:r>
      <w:r w:rsidRPr="00BD1807">
        <w:rPr>
          <w:rFonts w:ascii="Calibri" w:hAnsi="Calibri" w:cs="Calibri"/>
          <w:lang w:val="en-GB"/>
        </w:rPr>
        <w:t>, and homeless accommodation.</w:t>
      </w:r>
      <w:r w:rsidR="00462F30">
        <w:rPr>
          <w:rFonts w:ascii="Calibri" w:hAnsi="Calibri" w:cs="Calibri" w:hint="eastAsia"/>
          <w:lang w:val="en-GB"/>
        </w:rPr>
        <w:t xml:space="preserve"> </w:t>
      </w:r>
      <w:r w:rsidR="00952342">
        <w:rPr>
          <w:rFonts w:ascii="Calibri" w:hAnsi="Calibri" w:cs="Calibri"/>
          <w:lang w:val="en-GB"/>
        </w:rPr>
        <w:t>O</w:t>
      </w:r>
      <w:r w:rsidR="00952342" w:rsidRPr="00952342">
        <w:rPr>
          <w:rFonts w:ascii="Calibri" w:hAnsi="Calibri" w:cs="Calibri"/>
          <w:lang w:val="en-GB"/>
        </w:rPr>
        <w:t>utcomes:</w:t>
      </w:r>
      <w:r w:rsidR="00952342" w:rsidRPr="00952342">
        <w:t xml:space="preserve"> </w:t>
      </w:r>
      <w:r w:rsidR="00952342" w:rsidRPr="00952342">
        <w:rPr>
          <w:rFonts w:ascii="Calibri" w:hAnsi="Calibri" w:cs="Calibri"/>
          <w:lang w:val="en-GB"/>
        </w:rPr>
        <w:t>drug-related deaths</w:t>
      </w:r>
      <w:r w:rsidR="00952342">
        <w:rPr>
          <w:rFonts w:ascii="Calibri" w:hAnsi="Calibri" w:cs="Calibri"/>
          <w:lang w:val="en-GB"/>
        </w:rPr>
        <w:t xml:space="preserve"> (DRD),</w:t>
      </w:r>
      <w:r w:rsidR="00952342" w:rsidRPr="00952342">
        <w:rPr>
          <w:rFonts w:ascii="Calibri" w:hAnsi="Calibri" w:cs="Calibri"/>
          <w:lang w:val="en-GB"/>
        </w:rPr>
        <w:t xml:space="preserve"> all-cause mortality (ACM), </w:t>
      </w:r>
      <w:r w:rsidR="00462F30">
        <w:rPr>
          <w:rFonts w:ascii="Calibri" w:hAnsi="Calibri" w:cs="Calibri" w:hint="eastAsia"/>
        </w:rPr>
        <w:t>n</w:t>
      </w:r>
      <w:r w:rsidR="00952342" w:rsidRPr="00952342">
        <w:rPr>
          <w:rFonts w:ascii="Calibri" w:hAnsi="Calibri" w:cs="Calibri"/>
        </w:rPr>
        <w:t>on-fatal overdose</w:t>
      </w:r>
      <w:r w:rsidR="00952342">
        <w:rPr>
          <w:rFonts w:ascii="Calibri" w:hAnsi="Calibri" w:cs="Calibri"/>
        </w:rPr>
        <w:t xml:space="preserve"> </w:t>
      </w:r>
      <w:r w:rsidR="00952342" w:rsidRPr="00952342">
        <w:rPr>
          <w:rFonts w:ascii="Calibri" w:hAnsi="Calibri" w:cs="Calibri"/>
          <w:lang w:val="en-GB"/>
        </w:rPr>
        <w:t xml:space="preserve">(NFOD), and </w:t>
      </w:r>
      <w:r w:rsidR="00C3003B">
        <w:rPr>
          <w:rFonts w:ascii="Calibri" w:hAnsi="Calibri" w:cs="Calibri"/>
          <w:lang w:val="en-GB"/>
        </w:rPr>
        <w:t>cardiovascular mortality</w:t>
      </w:r>
      <w:r w:rsidR="00952342" w:rsidRPr="00952342">
        <w:rPr>
          <w:rFonts w:ascii="Calibri" w:hAnsi="Calibri" w:cs="Calibri"/>
          <w:lang w:val="en-GB"/>
        </w:rPr>
        <w:t xml:space="preserve"> (CVD).</w:t>
      </w:r>
      <w:r w:rsidR="00462F30">
        <w:rPr>
          <w:rFonts w:ascii="Calibri" w:hAnsi="Calibri" w:cs="Calibri" w:hint="eastAsia"/>
          <w:lang w:val="en-GB"/>
        </w:rPr>
        <w:t xml:space="preserve"> </w:t>
      </w:r>
      <w:r w:rsidR="00952342" w:rsidRPr="00952342">
        <w:rPr>
          <w:rFonts w:ascii="Calibri" w:hAnsi="Calibri" w:cs="Calibri"/>
          <w:lang w:val="en-GB"/>
        </w:rPr>
        <w:t>IRR = incidence rate ratio; 95% CI = 95% confidence interval. All models use log(person-years) as offset.</w:t>
      </w:r>
    </w:p>
    <w:p w14:paraId="62B8E25B" w14:textId="77777777" w:rsidR="00EF37F7" w:rsidRDefault="00EF37F7" w:rsidP="00EF37F7">
      <w:pPr>
        <w:pStyle w:val="NormalWeb"/>
        <w:spacing w:line="360" w:lineRule="auto"/>
        <w:rPr>
          <w:rFonts w:ascii="Calibri" w:hAnsi="Calibri" w:cs="Calibri"/>
          <w:lang w:val="en-GB"/>
        </w:rPr>
      </w:pPr>
    </w:p>
    <w:p w14:paraId="5207E900" w14:textId="14836C4C" w:rsidR="00462F30" w:rsidRPr="00952342" w:rsidRDefault="00462F30" w:rsidP="00462F30">
      <w:pPr>
        <w:pStyle w:val="NormalWeb"/>
        <w:spacing w:line="360" w:lineRule="auto"/>
        <w:jc w:val="center"/>
        <w:rPr>
          <w:rFonts w:ascii="Calibri" w:hAnsi="Calibri" w:cs="Calibri"/>
          <w:b/>
          <w:bCs/>
        </w:rPr>
      </w:pPr>
      <w:r w:rsidRPr="00952342">
        <w:rPr>
          <w:rFonts w:ascii="Calibri" w:hAnsi="Calibri" w:cs="Calibri"/>
          <w:b/>
          <w:bCs/>
        </w:rPr>
        <w:t xml:space="preserve">Table </w:t>
      </w:r>
      <w:r>
        <w:rPr>
          <w:rFonts w:ascii="Calibri" w:hAnsi="Calibri" w:cs="Calibri" w:hint="eastAsia"/>
          <w:b/>
          <w:bCs/>
        </w:rPr>
        <w:t>4</w:t>
      </w:r>
      <w:r w:rsidRPr="00952342">
        <w:rPr>
          <w:rFonts w:ascii="Calibri" w:hAnsi="Calibri" w:cs="Calibri"/>
          <w:b/>
          <w:bCs/>
        </w:rPr>
        <w:t xml:space="preserve">. </w:t>
      </w:r>
      <w:r w:rsidRPr="00462F30">
        <w:rPr>
          <w:rFonts w:ascii="Calibri" w:hAnsi="Calibri" w:cs="Calibri"/>
          <w:b/>
          <w:bCs/>
          <w:lang w:val="en-GB"/>
        </w:rPr>
        <w:t xml:space="preserve">Poisson </w:t>
      </w:r>
      <w:r>
        <w:rPr>
          <w:rFonts w:ascii="Calibri" w:hAnsi="Calibri" w:cs="Calibri" w:hint="eastAsia"/>
          <w:b/>
          <w:bCs/>
          <w:lang w:val="en-GB"/>
        </w:rPr>
        <w:t>R</w:t>
      </w:r>
      <w:r w:rsidRPr="00462F30">
        <w:rPr>
          <w:rFonts w:ascii="Calibri" w:hAnsi="Calibri" w:cs="Calibri"/>
          <w:b/>
          <w:bCs/>
          <w:lang w:val="en-GB"/>
        </w:rPr>
        <w:t xml:space="preserve">egression </w:t>
      </w:r>
      <w:r>
        <w:rPr>
          <w:rFonts w:ascii="Calibri" w:hAnsi="Calibri" w:cs="Calibri" w:hint="eastAsia"/>
          <w:b/>
          <w:bCs/>
          <w:lang w:val="en-GB"/>
        </w:rPr>
        <w:t>R</w:t>
      </w:r>
      <w:r w:rsidRPr="00462F30">
        <w:rPr>
          <w:rFonts w:ascii="Calibri" w:hAnsi="Calibri" w:cs="Calibri"/>
          <w:b/>
          <w:bCs/>
          <w:lang w:val="en-GB"/>
        </w:rPr>
        <w:t xml:space="preserve">esults with </w:t>
      </w:r>
      <w:r>
        <w:rPr>
          <w:rFonts w:ascii="Calibri" w:hAnsi="Calibri" w:cs="Calibri" w:hint="eastAsia"/>
          <w:b/>
          <w:bCs/>
          <w:lang w:val="en-GB"/>
        </w:rPr>
        <w:t>A</w:t>
      </w:r>
      <w:r w:rsidRPr="00462F30">
        <w:rPr>
          <w:rFonts w:ascii="Calibri" w:hAnsi="Calibri" w:cs="Calibri"/>
          <w:b/>
          <w:bCs/>
          <w:lang w:val="en-GB"/>
        </w:rPr>
        <w:t xml:space="preserve">ge-group × </w:t>
      </w:r>
      <w:r>
        <w:rPr>
          <w:rFonts w:ascii="Calibri" w:hAnsi="Calibri" w:cs="Calibri" w:hint="eastAsia"/>
          <w:b/>
          <w:bCs/>
          <w:lang w:val="en-GB"/>
        </w:rPr>
        <w:t>S</w:t>
      </w:r>
      <w:r w:rsidRPr="00462F30">
        <w:rPr>
          <w:rFonts w:ascii="Calibri" w:hAnsi="Calibri" w:cs="Calibri"/>
          <w:b/>
          <w:bCs/>
          <w:lang w:val="en-GB"/>
        </w:rPr>
        <w:t xml:space="preserve">ex </w:t>
      </w:r>
      <w:r>
        <w:rPr>
          <w:rFonts w:ascii="Calibri" w:hAnsi="Calibri" w:cs="Calibri" w:hint="eastAsia"/>
          <w:b/>
          <w:bCs/>
          <w:lang w:val="en-GB"/>
        </w:rPr>
        <w:t>I</w:t>
      </w:r>
      <w:r w:rsidRPr="00462F30">
        <w:rPr>
          <w:rFonts w:ascii="Calibri" w:hAnsi="Calibri" w:cs="Calibri"/>
          <w:b/>
          <w:bCs/>
          <w:lang w:val="en-GB"/>
        </w:rPr>
        <w:t>nteraction terms</w:t>
      </w:r>
      <w:r>
        <w:rPr>
          <w:rFonts w:ascii="Calibri" w:hAnsi="Calibri" w:cs="Calibri" w:hint="eastAsia"/>
          <w:b/>
          <w:bCs/>
          <w:lang w:val="en-GB"/>
        </w:rPr>
        <w:t xml:space="preserve"> for </w:t>
      </w:r>
      <w:r w:rsidRPr="00462F30">
        <w:rPr>
          <w:rFonts w:ascii="Calibri" w:hAnsi="Calibri" w:cs="Calibri"/>
          <w:b/>
          <w:bCs/>
          <w:lang w:val="en-GB"/>
        </w:rPr>
        <w:t xml:space="preserve">Non-fatal </w:t>
      </w:r>
      <w:r>
        <w:rPr>
          <w:rFonts w:ascii="Calibri" w:hAnsi="Calibri" w:cs="Calibri" w:hint="eastAsia"/>
          <w:b/>
          <w:bCs/>
          <w:lang w:val="en-GB"/>
        </w:rPr>
        <w:t>O</w:t>
      </w:r>
      <w:r w:rsidRPr="00462F30">
        <w:rPr>
          <w:rFonts w:ascii="Calibri" w:hAnsi="Calibri" w:cs="Calibri"/>
          <w:b/>
          <w:bCs/>
          <w:lang w:val="en-GB"/>
        </w:rPr>
        <w:t>verdose</w:t>
      </w:r>
      <w:r>
        <w:rPr>
          <w:rFonts w:ascii="Calibri" w:hAnsi="Calibri" w:cs="Calibri" w:hint="eastAsia"/>
          <w:b/>
          <w:bCs/>
          <w:lang w:val="en-GB"/>
        </w:rPr>
        <w:t xml:space="preserve"> and</w:t>
      </w:r>
      <w:r w:rsidRPr="00462F30">
        <w:rPr>
          <w:rFonts w:ascii="Segoe UI" w:hAnsi="Segoe UI" w:cs="Segoe UI"/>
          <w:b/>
          <w:bCs/>
          <w:spacing w:val="8"/>
          <w:kern w:val="2"/>
          <w:sz w:val="21"/>
          <w:szCs w:val="21"/>
          <w:bdr w:val="none" w:sz="0" w:space="0" w:color="auto" w:frame="1"/>
          <w:shd w:val="clear" w:color="auto" w:fill="FFFFFF"/>
          <w:lang w:val="en-GB"/>
        </w:rPr>
        <w:t xml:space="preserve"> </w:t>
      </w:r>
      <w:r w:rsidR="00C3003B">
        <w:rPr>
          <w:rFonts w:ascii="Calibri" w:hAnsi="Calibri" w:cs="Calibri"/>
          <w:b/>
          <w:bCs/>
          <w:lang w:val="en-GB"/>
        </w:rPr>
        <w:t xml:space="preserve">Cardiovascular </w:t>
      </w:r>
      <w:r w:rsidR="00C3003B">
        <w:rPr>
          <w:rFonts w:ascii="Calibri" w:hAnsi="Calibri" w:cs="Calibri" w:hint="eastAsia"/>
          <w:b/>
          <w:bCs/>
          <w:lang w:val="en-GB"/>
        </w:rPr>
        <w:t>M</w:t>
      </w:r>
      <w:r w:rsidR="00C3003B">
        <w:rPr>
          <w:rFonts w:ascii="Calibri" w:hAnsi="Calibri" w:cs="Calibri"/>
          <w:b/>
          <w:bCs/>
          <w:lang w:val="en-GB"/>
        </w:rPr>
        <w:t>ortality</w:t>
      </w:r>
    </w:p>
    <w:tbl>
      <w:tblPr>
        <w:tblW w:w="7789" w:type="dxa"/>
        <w:jc w:val="center"/>
        <w:tblCellMar>
          <w:top w:w="15" w:type="dxa"/>
          <w:left w:w="15" w:type="dxa"/>
          <w:bottom w:w="15" w:type="dxa"/>
          <w:right w:w="15" w:type="dxa"/>
        </w:tblCellMar>
        <w:tblLook w:val="04A0" w:firstRow="1" w:lastRow="0" w:firstColumn="1" w:lastColumn="0" w:noHBand="0" w:noVBand="1"/>
      </w:tblPr>
      <w:tblGrid>
        <w:gridCol w:w="2184"/>
        <w:gridCol w:w="1836"/>
        <w:gridCol w:w="1104"/>
        <w:gridCol w:w="1469"/>
        <w:gridCol w:w="1196"/>
      </w:tblGrid>
      <w:tr w:rsidR="00462F30" w:rsidRPr="00462F30" w14:paraId="4DF79BDB"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5656A85"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Outcome</w:t>
            </w: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EB44703"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Covariate</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514F7A2"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IRR</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06CEEE0"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95% CI</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E14C5DE"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p-value</w:t>
            </w:r>
          </w:p>
        </w:tc>
      </w:tr>
      <w:tr w:rsidR="00462F30" w:rsidRPr="00462F30" w14:paraId="34DCC6A3"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F2301F7"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b/>
                <w:bCs/>
              </w:rPr>
              <w:t>Non-fatal overdose</w:t>
            </w: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D0F3FAA"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Intercept</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D0A3BEA"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0.042</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CA9743A"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0.037–0.046</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BDC7E0E"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169803A9"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4BD361B"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9D169F3"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drugploy</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1DA5556"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1.68</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00897B7"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1.61–1.76</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4B1084C"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424C9AD1"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0D118C6"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0B04E7A"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age 35–49 vs 15–34</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6BF8367"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0.88</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C20BB2B"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0.82–0.96</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EB935AB"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0.002</w:t>
            </w:r>
          </w:p>
        </w:tc>
      </w:tr>
      <w:tr w:rsidR="00462F30" w:rsidRPr="00462F30" w14:paraId="65412814"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FDC1886"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9A582EE"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age 50–64 vs 15–34</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D9CAB6B"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0.89</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E69023B"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0.78–1.01</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D8793E2"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0.086</w:t>
            </w:r>
          </w:p>
        </w:tc>
      </w:tr>
      <w:tr w:rsidR="00462F30" w:rsidRPr="00462F30" w14:paraId="3F6B70A0"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FAB8573"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22B3BC2"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sex (M vs F)</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FA0570C"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1.29</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5382B79"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1.20–1.40</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6E878B5"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7BED7C20"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7CC7ECC"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B291554"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2016</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223FA5B"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1.35</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9482970"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1.22–1.49</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06A5FE4"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799BA028"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0BFD0B5"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9B69DF9"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2017</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DD73AB7"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1.78</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4F44F7B"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1.63–1.96</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B99E2B9"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5CE50ECD"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25C0D46"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0762241"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2018</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F0CD9B3"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2.18</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B0889D0"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2.00–2.39</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19BB113"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2541AABD"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A75B3B3"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07BC313"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2019</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6F7A311"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2.52</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537A40E"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2.31–2.75</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29DA7F7"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5F6687D7"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33FDFD0"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47A0F86"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2020</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9B23CCD"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2.31</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5D37C5C"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2.12–2.53</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D56A0E0"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5499C5DA"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B763478"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0C7D8FB"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2021</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DDBD28E"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2.24</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5293BFF"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2.04–2.45</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9EF83A2"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2D5CA5B9"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A481A88"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B2EA12F"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2022</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6EA5062"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1.34</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61A7DF1"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1.22–1.49</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15E652F"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20582CB1"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64E8864"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DD34A88"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board (Other NHS regions vs GGC)</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DDF13F4"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0.99</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20D5B99"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0.95–1.04</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57FBBE5"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0.79</w:t>
            </w:r>
          </w:p>
        </w:tc>
      </w:tr>
      <w:tr w:rsidR="00462F30" w:rsidRPr="00462F30" w14:paraId="5CD985F7"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1B74D60"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0205C3B"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board (Tayside vs GGC)</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47EFCC2"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1.45</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6B3503A"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1.35–1.56</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819B24A"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2B728987"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FF540B4"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EC0096B"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accommodation (Missing vs Homeless)</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836010C"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0.65</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AD30585"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0.59–0.70</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C87A930"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546DA33B"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412D9E1"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23D84C6"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accommodation (Other vs Homeless)</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D1B7952"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1.15</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20A0D04"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1.07–1.23</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6A21E35"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39E5F704"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D1BEF52"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3B8CAF3"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accommodation (Owned/Rented vs Homeless)</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34E7B8E"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0.47</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4E6E807"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0.44–0.49</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9602E88"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2489FD2F"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642259A"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2A953EB"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age 35–49 × sex M</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5054971"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0.83</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6DF639F"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0.76–0.91</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2FD9000"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03B37257"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CC2BBDB"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5AD9AD9"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age 50–64 × sex M</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01A4BF3"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0.72</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BE0904D"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0.62–0.84</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10CD0D0"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22540705"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6361E9E" w14:textId="5CC402B8" w:rsidR="00462F30" w:rsidRPr="00462F30" w:rsidRDefault="00C3003B" w:rsidP="00462F30">
            <w:pPr>
              <w:pStyle w:val="NormalWeb"/>
              <w:spacing w:line="360" w:lineRule="auto"/>
              <w:rPr>
                <w:rFonts w:ascii="Calibri" w:hAnsi="Calibri" w:cs="Calibri"/>
              </w:rPr>
            </w:pPr>
            <w:r>
              <w:rPr>
                <w:rFonts w:ascii="Calibri" w:hAnsi="Calibri" w:cs="Calibri"/>
                <w:b/>
                <w:bCs/>
              </w:rPr>
              <w:t>Cardiovascular mortality</w:t>
            </w: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54150EA"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Intercept</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5C9FFB8"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0.016</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1640019"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0.014–0.019</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4649926"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64937367"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C9E17D9"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80588D2"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drugploy</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75EA179"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0.73</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465A036"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0.68–0.78</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9BFF7D5"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5CA3B34D"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7BF2C22"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C0CD58A"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age 35–49 vs 15–34</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368EA06"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2.27</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AE6A852"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1.96–2.63</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DD417D9"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67241CE9"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F227827"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8682837"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age 50–64 vs 15–34</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EDB9ABA"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5.62</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9CB95C2"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4.77–6.64</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23CF231"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53FC5E5E"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F76120D"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F9F5CC8"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sex (M vs F)</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FB73967"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0.99</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321E89A"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0.84–1.18</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6E54105"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0.94</w:t>
            </w:r>
          </w:p>
        </w:tc>
      </w:tr>
      <w:tr w:rsidR="00462F30" w:rsidRPr="00462F30" w14:paraId="2A80F36C"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3BD183D"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85798B3"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2016</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38A023D"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0.91</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084B7A0"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0.84–0.99</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E854A52"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0.035</w:t>
            </w:r>
          </w:p>
        </w:tc>
      </w:tr>
      <w:tr w:rsidR="00462F30" w:rsidRPr="00462F30" w14:paraId="0AF1FF70"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0074296"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19251DB"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2017</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55AFE7A"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0.76</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EE13F7A"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0.70–0.83</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24CE4CA"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72C74112"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0E12E74"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9BFC58C"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2018</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D0A688C"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0.67</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3599C41"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0.61–0.73</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FCC117A"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247978BC"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11841E1"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AA435C4"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2019</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8AFA907"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0.60</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5F418BB"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0.54–0.66</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06597B3"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5A0C0DB9"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3197B71"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3A19243"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2020</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87509FA"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0.56</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D0C9C67"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0.51–0.61</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7D8FA6D"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590B886B"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B77623A"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E0013C0"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2021</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4028DEE"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0.42</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10BD3DB"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0.38–0.47</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DCB3DB7"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662ABABC"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A7D6323"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7510FA1"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2022</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BD16C20"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0.26</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C2E0341"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0.23–0.29</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C3FC9B9"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7B15AEBE"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04ABA4E"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DDA0D6B"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board (Other NHS regions vs GGC)</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141757F"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1.36</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74568BE"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1.28–1.44</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CD03889"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65ACE973"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9DD9A19"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56D7A4A"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board (Tayside vs GGC)</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3F92E1E"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1.17</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96B0872"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1.05–1.29</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A2FC533"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0.004</w:t>
            </w:r>
          </w:p>
        </w:tc>
      </w:tr>
      <w:tr w:rsidR="00462F30" w:rsidRPr="00462F30" w14:paraId="53081A45"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584DC43"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502B701"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accommodation (Missing vs Homeless)</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43371D7"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1.25</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4A2FBBB"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1.12–1.40</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B9FF85E"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51E43FBC"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8E4A706"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6E888D6"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accommodation (Other vs Homeless)</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1D67D17"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1.14</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C89C53B"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1.00–1.29</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C603529"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0.042</w:t>
            </w:r>
          </w:p>
        </w:tc>
      </w:tr>
      <w:tr w:rsidR="00462F30" w:rsidRPr="00462F30" w14:paraId="0B92019C"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C6DE0F8"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E5C637B"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accommodation (Owned/Rented vs Homeless)</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9615A46"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0.85</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6D0FB2F"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0.77–0.93</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A41060D"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&lt;0.001</w:t>
            </w:r>
          </w:p>
        </w:tc>
      </w:tr>
      <w:tr w:rsidR="00462F30" w:rsidRPr="00462F30" w14:paraId="78AAC8EB"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B546BD3"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0B979A8"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age 35–49 × sex M</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67D138D"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1.21</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763C2E4"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1.01–1.47</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9388749"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0.043</w:t>
            </w:r>
          </w:p>
        </w:tc>
      </w:tr>
      <w:tr w:rsidR="00462F30" w:rsidRPr="00462F30" w14:paraId="1B340498" w14:textId="77777777" w:rsidTr="00462F30">
        <w:trPr>
          <w:trHeight w:val="585"/>
          <w:jc w:val="center"/>
        </w:trPr>
        <w:tc>
          <w:tcPr>
            <w:tcW w:w="218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AEAD190" w14:textId="77777777" w:rsidR="00462F30" w:rsidRPr="00462F30" w:rsidRDefault="00462F30" w:rsidP="00462F30">
            <w:pPr>
              <w:pStyle w:val="NormalWeb"/>
              <w:spacing w:line="360" w:lineRule="auto"/>
              <w:rPr>
                <w:rFonts w:ascii="Calibri" w:hAnsi="Calibri" w:cs="Calibri"/>
              </w:rPr>
            </w:pPr>
          </w:p>
        </w:tc>
        <w:tc>
          <w:tcPr>
            <w:tcW w:w="183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D765442"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age 50–64 × sex M</w:t>
            </w:r>
          </w:p>
        </w:tc>
        <w:tc>
          <w:tcPr>
            <w:tcW w:w="1104"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F8B44BD"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1.29</w:t>
            </w:r>
          </w:p>
        </w:tc>
        <w:tc>
          <w:tcPr>
            <w:tcW w:w="1469"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CD8DB8F"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1.05–1.58</w:t>
            </w:r>
          </w:p>
        </w:tc>
        <w:tc>
          <w:tcPr>
            <w:tcW w:w="1196"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66BA8B4" w14:textId="77777777" w:rsidR="00462F30" w:rsidRPr="00462F30" w:rsidRDefault="00462F30" w:rsidP="00462F30">
            <w:pPr>
              <w:pStyle w:val="NormalWeb"/>
              <w:spacing w:line="360" w:lineRule="auto"/>
              <w:rPr>
                <w:rFonts w:ascii="Calibri" w:hAnsi="Calibri" w:cs="Calibri"/>
              </w:rPr>
            </w:pPr>
            <w:r w:rsidRPr="00462F30">
              <w:rPr>
                <w:rFonts w:ascii="Calibri" w:hAnsi="Calibri" w:cs="Calibri"/>
              </w:rPr>
              <w:t>0.016</w:t>
            </w:r>
          </w:p>
        </w:tc>
      </w:tr>
    </w:tbl>
    <w:p w14:paraId="213ADE66" w14:textId="101A1B58" w:rsidR="00462F30" w:rsidRPr="00BD1807" w:rsidRDefault="00462F30" w:rsidP="00462F30">
      <w:pPr>
        <w:pStyle w:val="NormalWeb"/>
        <w:spacing w:line="360" w:lineRule="auto"/>
        <w:rPr>
          <w:rFonts w:ascii="Calibri" w:hAnsi="Calibri" w:cs="Calibri"/>
          <w:lang w:val="en-GB"/>
        </w:rPr>
      </w:pPr>
      <w:r w:rsidRPr="00BD1807">
        <w:rPr>
          <w:rFonts w:ascii="Calibri" w:hAnsi="Calibri" w:cs="Calibri"/>
          <w:lang w:val="en-GB"/>
        </w:rPr>
        <w:t xml:space="preserve">Reference categories: </w:t>
      </w:r>
      <w:r w:rsidRPr="00952342">
        <w:rPr>
          <w:rFonts w:ascii="Calibri" w:hAnsi="Calibri" w:cs="Calibri"/>
          <w:lang w:val="en-GB"/>
        </w:rPr>
        <w:t xml:space="preserve">opioid </w:t>
      </w:r>
      <w:r>
        <w:rPr>
          <w:rFonts w:ascii="Calibri" w:hAnsi="Calibri" w:cs="Calibri"/>
          <w:lang w:val="en-GB"/>
        </w:rPr>
        <w:t>only,</w:t>
      </w:r>
      <w:r w:rsidRPr="00BD1807">
        <w:rPr>
          <w:rFonts w:ascii="Calibri" w:hAnsi="Calibri" w:cs="Calibri"/>
          <w:lang w:val="en-GB"/>
        </w:rPr>
        <w:t xml:space="preserve"> age 15–34 years, female sex, calendar year 2015, Greater Glasgow &amp; Clyde</w:t>
      </w:r>
      <w:r>
        <w:rPr>
          <w:rFonts w:ascii="Calibri" w:hAnsi="Calibri" w:cs="Calibri"/>
          <w:lang w:val="en-GB"/>
        </w:rPr>
        <w:t xml:space="preserve"> (GGC)</w:t>
      </w:r>
      <w:r w:rsidRPr="00BD1807">
        <w:rPr>
          <w:rFonts w:ascii="Calibri" w:hAnsi="Calibri" w:cs="Calibri"/>
          <w:lang w:val="en-GB"/>
        </w:rPr>
        <w:t>, and homeless accommodation.</w:t>
      </w:r>
      <w:r>
        <w:rPr>
          <w:rFonts w:ascii="Calibri" w:hAnsi="Calibri" w:cs="Calibri" w:hint="eastAsia"/>
          <w:lang w:val="en-GB"/>
        </w:rPr>
        <w:t xml:space="preserve"> </w:t>
      </w:r>
      <w:r w:rsidRPr="00952342">
        <w:rPr>
          <w:rFonts w:ascii="Calibri" w:hAnsi="Calibri" w:cs="Calibri"/>
          <w:lang w:val="en-GB"/>
        </w:rPr>
        <w:t>IRR = incidence rate ratio; 95% CI = 95% confidence interval. All models use log(person-years) as offset.</w:t>
      </w:r>
    </w:p>
    <w:p w14:paraId="56CDF4A1" w14:textId="77777777" w:rsidR="00462F30" w:rsidRPr="00462F30" w:rsidRDefault="00462F30" w:rsidP="00EF37F7">
      <w:pPr>
        <w:pStyle w:val="NormalWeb"/>
        <w:spacing w:line="360" w:lineRule="auto"/>
        <w:rPr>
          <w:rFonts w:ascii="Calibri" w:hAnsi="Calibri" w:cs="Calibri"/>
        </w:rPr>
      </w:pPr>
    </w:p>
    <w:sectPr w:rsidR="00462F30" w:rsidRPr="00462F30">
      <w:footerReference w:type="default" r:id="rId32"/>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3316F6" w14:textId="77777777" w:rsidR="00830AF4" w:rsidRDefault="00830AF4">
      <w:pPr>
        <w:spacing w:line="240" w:lineRule="auto"/>
      </w:pPr>
      <w:r>
        <w:separator/>
      </w:r>
    </w:p>
  </w:endnote>
  <w:endnote w:type="continuationSeparator" w:id="0">
    <w:p w14:paraId="40658D6D" w14:textId="77777777" w:rsidR="00830AF4" w:rsidRDefault="00830A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5499832"/>
      <w:docPartObj>
        <w:docPartGallery w:val="AutoText"/>
      </w:docPartObj>
    </w:sdtPr>
    <w:sdtContent>
      <w:p w14:paraId="02CFC736" w14:textId="77777777" w:rsidR="00F651D2" w:rsidRDefault="00A44A1D">
        <w:pPr>
          <w:pStyle w:val="Footer"/>
          <w:jc w:val="right"/>
        </w:pPr>
        <w:r>
          <w:fldChar w:fldCharType="begin"/>
        </w:r>
        <w:r>
          <w:instrText xml:space="preserve"> PAGE   \* MERGEFORMAT </w:instrText>
        </w:r>
        <w:r>
          <w:fldChar w:fldCharType="separate"/>
        </w:r>
        <w:r>
          <w:t>2</w:t>
        </w:r>
        <w:r>
          <w:fldChar w:fldCharType="end"/>
        </w:r>
      </w:p>
    </w:sdtContent>
  </w:sdt>
  <w:p w14:paraId="02CFC737" w14:textId="77777777" w:rsidR="00F651D2" w:rsidRDefault="00F651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6DBA7" w14:textId="77777777" w:rsidR="00830AF4" w:rsidRDefault="00830AF4">
      <w:pPr>
        <w:spacing w:after="0"/>
      </w:pPr>
      <w:r>
        <w:separator/>
      </w:r>
    </w:p>
  </w:footnote>
  <w:footnote w:type="continuationSeparator" w:id="0">
    <w:p w14:paraId="4B9963E4" w14:textId="77777777" w:rsidR="00830AF4" w:rsidRDefault="00830A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F4C51C"/>
    <w:multiLevelType w:val="singleLevel"/>
    <w:tmpl w:val="82F4C51C"/>
    <w:lvl w:ilvl="0">
      <w:start w:val="1"/>
      <w:numFmt w:val="decimal"/>
      <w:lvlText w:val="%1."/>
      <w:lvlJc w:val="left"/>
      <w:pPr>
        <w:ind w:left="425" w:hanging="425"/>
      </w:pPr>
      <w:rPr>
        <w:rFonts w:hint="default"/>
        <w:color w:val="auto"/>
      </w:rPr>
    </w:lvl>
  </w:abstractNum>
  <w:abstractNum w:abstractNumId="1" w15:restartNumberingAfterBreak="0">
    <w:nsid w:val="04501758"/>
    <w:multiLevelType w:val="multilevel"/>
    <w:tmpl w:val="5FFE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1D25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E532E50"/>
    <w:multiLevelType w:val="multilevel"/>
    <w:tmpl w:val="CFCC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2F3E10"/>
    <w:multiLevelType w:val="multilevel"/>
    <w:tmpl w:val="71FA0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035208">
    <w:abstractNumId w:val="0"/>
  </w:num>
  <w:num w:numId="2" w16cid:durableId="1954171702">
    <w:abstractNumId w:val="4"/>
  </w:num>
  <w:num w:numId="3" w16cid:durableId="1621958688">
    <w:abstractNumId w:val="1"/>
  </w:num>
  <w:num w:numId="4" w16cid:durableId="893542399">
    <w:abstractNumId w:val="3"/>
  </w:num>
  <w:num w:numId="5" w16cid:durableId="217985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DAB"/>
    <w:rsid w:val="00005391"/>
    <w:rsid w:val="00010B27"/>
    <w:rsid w:val="00010D83"/>
    <w:rsid w:val="000135DF"/>
    <w:rsid w:val="000222C3"/>
    <w:rsid w:val="00025E90"/>
    <w:rsid w:val="00032285"/>
    <w:rsid w:val="00033182"/>
    <w:rsid w:val="00042279"/>
    <w:rsid w:val="00042F4F"/>
    <w:rsid w:val="000511D2"/>
    <w:rsid w:val="000523C9"/>
    <w:rsid w:val="000525EB"/>
    <w:rsid w:val="00054389"/>
    <w:rsid w:val="00055EF6"/>
    <w:rsid w:val="0008016E"/>
    <w:rsid w:val="000A33F3"/>
    <w:rsid w:val="000A3A34"/>
    <w:rsid w:val="000A60BD"/>
    <w:rsid w:val="000B33CA"/>
    <w:rsid w:val="000C3A9E"/>
    <w:rsid w:val="000C725B"/>
    <w:rsid w:val="000D3DE3"/>
    <w:rsid w:val="000D79AE"/>
    <w:rsid w:val="000E5C69"/>
    <w:rsid w:val="000E6239"/>
    <w:rsid w:val="000F5C1E"/>
    <w:rsid w:val="000F603A"/>
    <w:rsid w:val="00100CCB"/>
    <w:rsid w:val="001033A4"/>
    <w:rsid w:val="0010768B"/>
    <w:rsid w:val="00114AAA"/>
    <w:rsid w:val="00116151"/>
    <w:rsid w:val="0013739F"/>
    <w:rsid w:val="001373B7"/>
    <w:rsid w:val="001507AA"/>
    <w:rsid w:val="001540EB"/>
    <w:rsid w:val="00154159"/>
    <w:rsid w:val="00154307"/>
    <w:rsid w:val="001571CA"/>
    <w:rsid w:val="0016028F"/>
    <w:rsid w:val="00166735"/>
    <w:rsid w:val="00167DF2"/>
    <w:rsid w:val="00185295"/>
    <w:rsid w:val="00190DB7"/>
    <w:rsid w:val="00193201"/>
    <w:rsid w:val="001935FC"/>
    <w:rsid w:val="001A43D0"/>
    <w:rsid w:val="001D69A2"/>
    <w:rsid w:val="001D69BE"/>
    <w:rsid w:val="001E1938"/>
    <w:rsid w:val="001E5DE0"/>
    <w:rsid w:val="001E7E74"/>
    <w:rsid w:val="001F62C9"/>
    <w:rsid w:val="00223117"/>
    <w:rsid w:val="0022574E"/>
    <w:rsid w:val="00227431"/>
    <w:rsid w:val="00240B47"/>
    <w:rsid w:val="002450F3"/>
    <w:rsid w:val="00245A58"/>
    <w:rsid w:val="00257CCD"/>
    <w:rsid w:val="00277FBE"/>
    <w:rsid w:val="00283145"/>
    <w:rsid w:val="002849CC"/>
    <w:rsid w:val="002853F3"/>
    <w:rsid w:val="00286607"/>
    <w:rsid w:val="00297016"/>
    <w:rsid w:val="002A2DFC"/>
    <w:rsid w:val="002B7C5F"/>
    <w:rsid w:val="002C4868"/>
    <w:rsid w:val="002E0EEE"/>
    <w:rsid w:val="002E1B37"/>
    <w:rsid w:val="002E584E"/>
    <w:rsid w:val="002F0EEC"/>
    <w:rsid w:val="002F419F"/>
    <w:rsid w:val="002F53F0"/>
    <w:rsid w:val="0030205D"/>
    <w:rsid w:val="003075C7"/>
    <w:rsid w:val="0031263D"/>
    <w:rsid w:val="0031324E"/>
    <w:rsid w:val="00317383"/>
    <w:rsid w:val="00320EAD"/>
    <w:rsid w:val="00331404"/>
    <w:rsid w:val="00334039"/>
    <w:rsid w:val="00343133"/>
    <w:rsid w:val="003525AB"/>
    <w:rsid w:val="003539EB"/>
    <w:rsid w:val="00363A19"/>
    <w:rsid w:val="00364186"/>
    <w:rsid w:val="003647D3"/>
    <w:rsid w:val="003737CB"/>
    <w:rsid w:val="003755C6"/>
    <w:rsid w:val="003762A1"/>
    <w:rsid w:val="0038394E"/>
    <w:rsid w:val="00386FD2"/>
    <w:rsid w:val="00387770"/>
    <w:rsid w:val="00394C3E"/>
    <w:rsid w:val="00397C25"/>
    <w:rsid w:val="003B259B"/>
    <w:rsid w:val="003C5C17"/>
    <w:rsid w:val="003D4732"/>
    <w:rsid w:val="003E1997"/>
    <w:rsid w:val="003E2190"/>
    <w:rsid w:val="003E43B6"/>
    <w:rsid w:val="003E4C80"/>
    <w:rsid w:val="00402982"/>
    <w:rsid w:val="004077A1"/>
    <w:rsid w:val="00417E8B"/>
    <w:rsid w:val="00421861"/>
    <w:rsid w:val="004235EB"/>
    <w:rsid w:val="0043071C"/>
    <w:rsid w:val="00442033"/>
    <w:rsid w:val="00455369"/>
    <w:rsid w:val="0045689B"/>
    <w:rsid w:val="00456E9C"/>
    <w:rsid w:val="0045762B"/>
    <w:rsid w:val="00462F30"/>
    <w:rsid w:val="0046374B"/>
    <w:rsid w:val="004638EA"/>
    <w:rsid w:val="00467838"/>
    <w:rsid w:val="00467898"/>
    <w:rsid w:val="004710A1"/>
    <w:rsid w:val="004717AD"/>
    <w:rsid w:val="00471EA3"/>
    <w:rsid w:val="0048085B"/>
    <w:rsid w:val="0049505A"/>
    <w:rsid w:val="00495631"/>
    <w:rsid w:val="00496C33"/>
    <w:rsid w:val="004A4C4D"/>
    <w:rsid w:val="004B5D68"/>
    <w:rsid w:val="00502D44"/>
    <w:rsid w:val="0051484C"/>
    <w:rsid w:val="00515E13"/>
    <w:rsid w:val="00517B57"/>
    <w:rsid w:val="005226F0"/>
    <w:rsid w:val="00523F03"/>
    <w:rsid w:val="00534F24"/>
    <w:rsid w:val="00536D36"/>
    <w:rsid w:val="005431D8"/>
    <w:rsid w:val="0056343A"/>
    <w:rsid w:val="00571C9E"/>
    <w:rsid w:val="0058238D"/>
    <w:rsid w:val="005858F9"/>
    <w:rsid w:val="00586622"/>
    <w:rsid w:val="00594007"/>
    <w:rsid w:val="005B02D4"/>
    <w:rsid w:val="005B19B1"/>
    <w:rsid w:val="005B746F"/>
    <w:rsid w:val="005C038E"/>
    <w:rsid w:val="005C0D86"/>
    <w:rsid w:val="005C5825"/>
    <w:rsid w:val="005C6AFE"/>
    <w:rsid w:val="005D0347"/>
    <w:rsid w:val="005D74BA"/>
    <w:rsid w:val="005F37EE"/>
    <w:rsid w:val="00614DF4"/>
    <w:rsid w:val="0061505F"/>
    <w:rsid w:val="006169D7"/>
    <w:rsid w:val="006174C3"/>
    <w:rsid w:val="0061768B"/>
    <w:rsid w:val="00623FA0"/>
    <w:rsid w:val="0062655D"/>
    <w:rsid w:val="00642BC4"/>
    <w:rsid w:val="0064762C"/>
    <w:rsid w:val="00651588"/>
    <w:rsid w:val="00651855"/>
    <w:rsid w:val="00651BDB"/>
    <w:rsid w:val="00660B68"/>
    <w:rsid w:val="00666AC6"/>
    <w:rsid w:val="0067004A"/>
    <w:rsid w:val="00677E80"/>
    <w:rsid w:val="00691656"/>
    <w:rsid w:val="00692A32"/>
    <w:rsid w:val="006971C2"/>
    <w:rsid w:val="006A0116"/>
    <w:rsid w:val="006A3C39"/>
    <w:rsid w:val="006A58D4"/>
    <w:rsid w:val="006A74D1"/>
    <w:rsid w:val="006B0ACF"/>
    <w:rsid w:val="006B3C61"/>
    <w:rsid w:val="006C4332"/>
    <w:rsid w:val="006D1812"/>
    <w:rsid w:val="006D1AC0"/>
    <w:rsid w:val="006E029A"/>
    <w:rsid w:val="006E7131"/>
    <w:rsid w:val="006F3378"/>
    <w:rsid w:val="006F44FE"/>
    <w:rsid w:val="006F46CA"/>
    <w:rsid w:val="006F61C1"/>
    <w:rsid w:val="006F701C"/>
    <w:rsid w:val="0070347A"/>
    <w:rsid w:val="00713656"/>
    <w:rsid w:val="007175FC"/>
    <w:rsid w:val="0072156C"/>
    <w:rsid w:val="00733DCC"/>
    <w:rsid w:val="00742239"/>
    <w:rsid w:val="00744231"/>
    <w:rsid w:val="00746C26"/>
    <w:rsid w:val="00763E81"/>
    <w:rsid w:val="00767C59"/>
    <w:rsid w:val="00775102"/>
    <w:rsid w:val="00777CFB"/>
    <w:rsid w:val="00784191"/>
    <w:rsid w:val="00787BB3"/>
    <w:rsid w:val="007941E8"/>
    <w:rsid w:val="00794FAD"/>
    <w:rsid w:val="00795280"/>
    <w:rsid w:val="00796A9B"/>
    <w:rsid w:val="007C75AD"/>
    <w:rsid w:val="007D394C"/>
    <w:rsid w:val="007D54A9"/>
    <w:rsid w:val="007F2C53"/>
    <w:rsid w:val="007F6166"/>
    <w:rsid w:val="008006BE"/>
    <w:rsid w:val="00801728"/>
    <w:rsid w:val="0080485F"/>
    <w:rsid w:val="00830AF4"/>
    <w:rsid w:val="00831E0E"/>
    <w:rsid w:val="00833AB3"/>
    <w:rsid w:val="008356C6"/>
    <w:rsid w:val="00850B57"/>
    <w:rsid w:val="00852905"/>
    <w:rsid w:val="00852AA0"/>
    <w:rsid w:val="00854790"/>
    <w:rsid w:val="00860624"/>
    <w:rsid w:val="0086757E"/>
    <w:rsid w:val="00870FB5"/>
    <w:rsid w:val="008722E2"/>
    <w:rsid w:val="00891245"/>
    <w:rsid w:val="008A459F"/>
    <w:rsid w:val="008C7453"/>
    <w:rsid w:val="008D0C20"/>
    <w:rsid w:val="008D77A1"/>
    <w:rsid w:val="008E3055"/>
    <w:rsid w:val="008E5506"/>
    <w:rsid w:val="008F0DAB"/>
    <w:rsid w:val="008F2E8A"/>
    <w:rsid w:val="00913458"/>
    <w:rsid w:val="009214CC"/>
    <w:rsid w:val="00923EA1"/>
    <w:rsid w:val="009335A9"/>
    <w:rsid w:val="00942053"/>
    <w:rsid w:val="00950A57"/>
    <w:rsid w:val="009515AF"/>
    <w:rsid w:val="00952342"/>
    <w:rsid w:val="00962859"/>
    <w:rsid w:val="009746D1"/>
    <w:rsid w:val="009844D0"/>
    <w:rsid w:val="009A1E7F"/>
    <w:rsid w:val="009B16F6"/>
    <w:rsid w:val="009B73F1"/>
    <w:rsid w:val="009D29D8"/>
    <w:rsid w:val="009E054B"/>
    <w:rsid w:val="009E072C"/>
    <w:rsid w:val="009E74AE"/>
    <w:rsid w:val="009F1BFE"/>
    <w:rsid w:val="00A01A93"/>
    <w:rsid w:val="00A07367"/>
    <w:rsid w:val="00A10ED1"/>
    <w:rsid w:val="00A11031"/>
    <w:rsid w:val="00A11465"/>
    <w:rsid w:val="00A15F93"/>
    <w:rsid w:val="00A16550"/>
    <w:rsid w:val="00A20337"/>
    <w:rsid w:val="00A24581"/>
    <w:rsid w:val="00A25A95"/>
    <w:rsid w:val="00A324D7"/>
    <w:rsid w:val="00A33D11"/>
    <w:rsid w:val="00A44A1D"/>
    <w:rsid w:val="00A46007"/>
    <w:rsid w:val="00A55AF8"/>
    <w:rsid w:val="00A7757C"/>
    <w:rsid w:val="00A85689"/>
    <w:rsid w:val="00AA13F2"/>
    <w:rsid w:val="00AA22A6"/>
    <w:rsid w:val="00AA7671"/>
    <w:rsid w:val="00AB018D"/>
    <w:rsid w:val="00AB3404"/>
    <w:rsid w:val="00AC287A"/>
    <w:rsid w:val="00AD48E1"/>
    <w:rsid w:val="00AD5470"/>
    <w:rsid w:val="00AD555C"/>
    <w:rsid w:val="00AD6EE9"/>
    <w:rsid w:val="00AE041F"/>
    <w:rsid w:val="00AE47D0"/>
    <w:rsid w:val="00AE4F2E"/>
    <w:rsid w:val="00AF592B"/>
    <w:rsid w:val="00AF6853"/>
    <w:rsid w:val="00B04007"/>
    <w:rsid w:val="00B069C4"/>
    <w:rsid w:val="00B16480"/>
    <w:rsid w:val="00B26BB1"/>
    <w:rsid w:val="00B274DE"/>
    <w:rsid w:val="00B27A18"/>
    <w:rsid w:val="00B30219"/>
    <w:rsid w:val="00B348FE"/>
    <w:rsid w:val="00B40550"/>
    <w:rsid w:val="00B50AA6"/>
    <w:rsid w:val="00B559A9"/>
    <w:rsid w:val="00B62CC5"/>
    <w:rsid w:val="00B741BC"/>
    <w:rsid w:val="00B90676"/>
    <w:rsid w:val="00B95487"/>
    <w:rsid w:val="00BB1C3D"/>
    <w:rsid w:val="00BB72A7"/>
    <w:rsid w:val="00BD1807"/>
    <w:rsid w:val="00BD5985"/>
    <w:rsid w:val="00BF1282"/>
    <w:rsid w:val="00BF3913"/>
    <w:rsid w:val="00BF394E"/>
    <w:rsid w:val="00C041C3"/>
    <w:rsid w:val="00C12E4A"/>
    <w:rsid w:val="00C20C7C"/>
    <w:rsid w:val="00C3003B"/>
    <w:rsid w:val="00C35A33"/>
    <w:rsid w:val="00C42409"/>
    <w:rsid w:val="00C5007E"/>
    <w:rsid w:val="00C5080C"/>
    <w:rsid w:val="00C5710F"/>
    <w:rsid w:val="00C70AC5"/>
    <w:rsid w:val="00C70B60"/>
    <w:rsid w:val="00C8309F"/>
    <w:rsid w:val="00C878BA"/>
    <w:rsid w:val="00CA35B3"/>
    <w:rsid w:val="00CA70B1"/>
    <w:rsid w:val="00CA7314"/>
    <w:rsid w:val="00CC3D04"/>
    <w:rsid w:val="00CC3D0B"/>
    <w:rsid w:val="00CD485B"/>
    <w:rsid w:val="00CD5F70"/>
    <w:rsid w:val="00CE1C75"/>
    <w:rsid w:val="00CF3822"/>
    <w:rsid w:val="00CF7FC0"/>
    <w:rsid w:val="00D021AA"/>
    <w:rsid w:val="00D06130"/>
    <w:rsid w:val="00D06869"/>
    <w:rsid w:val="00D156C7"/>
    <w:rsid w:val="00D16C2C"/>
    <w:rsid w:val="00D32EFB"/>
    <w:rsid w:val="00D37284"/>
    <w:rsid w:val="00D41C44"/>
    <w:rsid w:val="00D4731D"/>
    <w:rsid w:val="00D50A69"/>
    <w:rsid w:val="00D55CF5"/>
    <w:rsid w:val="00D7190D"/>
    <w:rsid w:val="00D75574"/>
    <w:rsid w:val="00D77182"/>
    <w:rsid w:val="00DA2C10"/>
    <w:rsid w:val="00DA595A"/>
    <w:rsid w:val="00DA6041"/>
    <w:rsid w:val="00DC3F20"/>
    <w:rsid w:val="00DD516F"/>
    <w:rsid w:val="00DD532E"/>
    <w:rsid w:val="00DD5881"/>
    <w:rsid w:val="00DE3BBC"/>
    <w:rsid w:val="00DF09CB"/>
    <w:rsid w:val="00DF0BF9"/>
    <w:rsid w:val="00DF208B"/>
    <w:rsid w:val="00DF3CA2"/>
    <w:rsid w:val="00DF53F2"/>
    <w:rsid w:val="00E011B5"/>
    <w:rsid w:val="00E049E4"/>
    <w:rsid w:val="00E1248B"/>
    <w:rsid w:val="00E17748"/>
    <w:rsid w:val="00E22CF9"/>
    <w:rsid w:val="00E23501"/>
    <w:rsid w:val="00E248BA"/>
    <w:rsid w:val="00E307CE"/>
    <w:rsid w:val="00E4255F"/>
    <w:rsid w:val="00E42C9A"/>
    <w:rsid w:val="00E51AB8"/>
    <w:rsid w:val="00E525A4"/>
    <w:rsid w:val="00E63A20"/>
    <w:rsid w:val="00E64145"/>
    <w:rsid w:val="00E6608F"/>
    <w:rsid w:val="00E77677"/>
    <w:rsid w:val="00E84253"/>
    <w:rsid w:val="00E84A13"/>
    <w:rsid w:val="00E87AE4"/>
    <w:rsid w:val="00E92E45"/>
    <w:rsid w:val="00E936B1"/>
    <w:rsid w:val="00E94A91"/>
    <w:rsid w:val="00E94AC7"/>
    <w:rsid w:val="00EA19F6"/>
    <w:rsid w:val="00EA2049"/>
    <w:rsid w:val="00EC2C44"/>
    <w:rsid w:val="00EC488B"/>
    <w:rsid w:val="00ED382D"/>
    <w:rsid w:val="00ED4E01"/>
    <w:rsid w:val="00EE12BC"/>
    <w:rsid w:val="00EE2DE5"/>
    <w:rsid w:val="00EE6C6E"/>
    <w:rsid w:val="00EF2433"/>
    <w:rsid w:val="00EF37F7"/>
    <w:rsid w:val="00EF3841"/>
    <w:rsid w:val="00EF4A57"/>
    <w:rsid w:val="00EF71FB"/>
    <w:rsid w:val="00F06C74"/>
    <w:rsid w:val="00F10DB8"/>
    <w:rsid w:val="00F11E56"/>
    <w:rsid w:val="00F213E0"/>
    <w:rsid w:val="00F224AD"/>
    <w:rsid w:val="00F31371"/>
    <w:rsid w:val="00F338D7"/>
    <w:rsid w:val="00F3793A"/>
    <w:rsid w:val="00F410AB"/>
    <w:rsid w:val="00F43A94"/>
    <w:rsid w:val="00F55323"/>
    <w:rsid w:val="00F55C10"/>
    <w:rsid w:val="00F55CEA"/>
    <w:rsid w:val="00F56D60"/>
    <w:rsid w:val="00F651D2"/>
    <w:rsid w:val="00F666D4"/>
    <w:rsid w:val="00F75F55"/>
    <w:rsid w:val="00FA3879"/>
    <w:rsid w:val="00FA3EA0"/>
    <w:rsid w:val="00FA646F"/>
    <w:rsid w:val="00FC23AB"/>
    <w:rsid w:val="00FC5E9B"/>
    <w:rsid w:val="00FD3C4A"/>
    <w:rsid w:val="00FE24CC"/>
    <w:rsid w:val="00FE5D11"/>
    <w:rsid w:val="00FE646E"/>
    <w:rsid w:val="00FF0E04"/>
    <w:rsid w:val="2CFC72DD"/>
    <w:rsid w:val="41313063"/>
    <w:rsid w:val="7520590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C6DA"/>
  <w15:docId w15:val="{E711CDC0-9B40-47C3-93D8-84441A0E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EastAsia" w:hAnsiTheme="minorHAnsi" w:cstheme="minorBidi"/>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NormalWeb">
    <w:name w:val="Normal (Web)"/>
    <w:basedOn w:val="Normal"/>
    <w:uiPriority w:val="99"/>
    <w:unhideWhenUsed/>
    <w:pPr>
      <w:spacing w:beforeAutospacing="1" w:after="0" w:afterAutospacing="1"/>
    </w:pPr>
    <w:rPr>
      <w:rFonts w:cs="Times New Roman"/>
      <w:kern w:val="0"/>
      <w:lang w:val="en-US"/>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Pr>
      <w:i/>
    </w:rPr>
  </w:style>
  <w:style w:type="character" w:styleId="LineNumber">
    <w:name w:val="line number"/>
    <w:basedOn w:val="DefaultParagraphFont"/>
    <w:uiPriority w:val="99"/>
    <w:semiHidden/>
    <w:unhideWhenUsed/>
  </w:style>
  <w:style w:type="character" w:styleId="Hyperlink">
    <w:name w:val="Hyperlink"/>
    <w:basedOn w:val="DefaultParagraphFont"/>
    <w:uiPriority w:val="99"/>
    <w:unhideWhenUsed/>
    <w:rPr>
      <w:color w:val="467886"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C041C3"/>
    <w:rPr>
      <w:color w:val="605E5C"/>
      <w:shd w:val="clear" w:color="auto" w:fill="E1DFDD"/>
    </w:rPr>
  </w:style>
  <w:style w:type="character" w:styleId="FollowedHyperlink">
    <w:name w:val="FollowedHyperlink"/>
    <w:basedOn w:val="DefaultParagraphFont"/>
    <w:uiPriority w:val="99"/>
    <w:semiHidden/>
    <w:unhideWhenUsed/>
    <w:rsid w:val="00E23501"/>
    <w:rPr>
      <w:color w:val="96607D" w:themeColor="followedHyperlink"/>
      <w:u w:val="single"/>
    </w:rPr>
  </w:style>
  <w:style w:type="paragraph" w:styleId="FootnoteText">
    <w:name w:val="footnote text"/>
    <w:basedOn w:val="Normal"/>
    <w:link w:val="FootnoteTextChar"/>
    <w:uiPriority w:val="99"/>
    <w:semiHidden/>
    <w:unhideWhenUsed/>
    <w:rsid w:val="00FF0E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0E04"/>
    <w:rPr>
      <w:rFonts w:asciiTheme="minorHAnsi" w:eastAsiaTheme="minorEastAsia" w:hAnsiTheme="minorHAnsi" w:cstheme="minorBidi"/>
      <w:kern w:val="2"/>
      <w14:ligatures w14:val="standardContextual"/>
    </w:rPr>
  </w:style>
  <w:style w:type="character" w:styleId="FootnoteReference">
    <w:name w:val="footnote reference"/>
    <w:basedOn w:val="DefaultParagraphFont"/>
    <w:uiPriority w:val="99"/>
    <w:semiHidden/>
    <w:unhideWhenUsed/>
    <w:rsid w:val="00FF0E04"/>
    <w:rPr>
      <w:vertAlign w:val="superscript"/>
    </w:rPr>
  </w:style>
  <w:style w:type="table" w:styleId="TableGrid">
    <w:name w:val="Table Grid"/>
    <w:basedOn w:val="TableNormal"/>
    <w:uiPriority w:val="39"/>
    <w:rsid w:val="00852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C5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50824">
      <w:bodyDiv w:val="1"/>
      <w:marLeft w:val="0"/>
      <w:marRight w:val="0"/>
      <w:marTop w:val="0"/>
      <w:marBottom w:val="0"/>
      <w:divBdr>
        <w:top w:val="none" w:sz="0" w:space="0" w:color="auto"/>
        <w:left w:val="none" w:sz="0" w:space="0" w:color="auto"/>
        <w:bottom w:val="none" w:sz="0" w:space="0" w:color="auto"/>
        <w:right w:val="none" w:sz="0" w:space="0" w:color="auto"/>
      </w:divBdr>
    </w:div>
    <w:div w:id="51662313">
      <w:bodyDiv w:val="1"/>
      <w:marLeft w:val="0"/>
      <w:marRight w:val="0"/>
      <w:marTop w:val="0"/>
      <w:marBottom w:val="0"/>
      <w:divBdr>
        <w:top w:val="none" w:sz="0" w:space="0" w:color="auto"/>
        <w:left w:val="none" w:sz="0" w:space="0" w:color="auto"/>
        <w:bottom w:val="none" w:sz="0" w:space="0" w:color="auto"/>
        <w:right w:val="none" w:sz="0" w:space="0" w:color="auto"/>
      </w:divBdr>
      <w:divsChild>
        <w:div w:id="345248539">
          <w:marLeft w:val="0"/>
          <w:marRight w:val="0"/>
          <w:marTop w:val="0"/>
          <w:marBottom w:val="0"/>
          <w:divBdr>
            <w:top w:val="none" w:sz="0" w:space="0" w:color="auto"/>
            <w:left w:val="none" w:sz="0" w:space="0" w:color="auto"/>
            <w:bottom w:val="none" w:sz="0" w:space="0" w:color="auto"/>
            <w:right w:val="none" w:sz="0" w:space="0" w:color="auto"/>
          </w:divBdr>
        </w:div>
      </w:divsChild>
    </w:div>
    <w:div w:id="82530789">
      <w:bodyDiv w:val="1"/>
      <w:marLeft w:val="0"/>
      <w:marRight w:val="0"/>
      <w:marTop w:val="0"/>
      <w:marBottom w:val="0"/>
      <w:divBdr>
        <w:top w:val="none" w:sz="0" w:space="0" w:color="auto"/>
        <w:left w:val="none" w:sz="0" w:space="0" w:color="auto"/>
        <w:bottom w:val="none" w:sz="0" w:space="0" w:color="auto"/>
        <w:right w:val="none" w:sz="0" w:space="0" w:color="auto"/>
      </w:divBdr>
      <w:divsChild>
        <w:div w:id="1058557704">
          <w:marLeft w:val="0"/>
          <w:marRight w:val="0"/>
          <w:marTop w:val="0"/>
          <w:marBottom w:val="0"/>
          <w:divBdr>
            <w:top w:val="none" w:sz="0" w:space="0" w:color="auto"/>
            <w:left w:val="none" w:sz="0" w:space="0" w:color="auto"/>
            <w:bottom w:val="none" w:sz="0" w:space="0" w:color="auto"/>
            <w:right w:val="none" w:sz="0" w:space="0" w:color="auto"/>
          </w:divBdr>
        </w:div>
      </w:divsChild>
    </w:div>
    <w:div w:id="117988745">
      <w:bodyDiv w:val="1"/>
      <w:marLeft w:val="0"/>
      <w:marRight w:val="0"/>
      <w:marTop w:val="0"/>
      <w:marBottom w:val="0"/>
      <w:divBdr>
        <w:top w:val="none" w:sz="0" w:space="0" w:color="auto"/>
        <w:left w:val="none" w:sz="0" w:space="0" w:color="auto"/>
        <w:bottom w:val="none" w:sz="0" w:space="0" w:color="auto"/>
        <w:right w:val="none" w:sz="0" w:space="0" w:color="auto"/>
      </w:divBdr>
      <w:divsChild>
        <w:div w:id="361365631">
          <w:marLeft w:val="0"/>
          <w:marRight w:val="0"/>
          <w:marTop w:val="0"/>
          <w:marBottom w:val="0"/>
          <w:divBdr>
            <w:top w:val="none" w:sz="0" w:space="0" w:color="auto"/>
            <w:left w:val="none" w:sz="0" w:space="0" w:color="auto"/>
            <w:bottom w:val="none" w:sz="0" w:space="0" w:color="auto"/>
            <w:right w:val="none" w:sz="0" w:space="0" w:color="auto"/>
          </w:divBdr>
          <w:divsChild>
            <w:div w:id="17764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3272">
      <w:bodyDiv w:val="1"/>
      <w:marLeft w:val="0"/>
      <w:marRight w:val="0"/>
      <w:marTop w:val="0"/>
      <w:marBottom w:val="0"/>
      <w:divBdr>
        <w:top w:val="none" w:sz="0" w:space="0" w:color="auto"/>
        <w:left w:val="none" w:sz="0" w:space="0" w:color="auto"/>
        <w:bottom w:val="none" w:sz="0" w:space="0" w:color="auto"/>
        <w:right w:val="none" w:sz="0" w:space="0" w:color="auto"/>
      </w:divBdr>
      <w:divsChild>
        <w:div w:id="22052049">
          <w:marLeft w:val="0"/>
          <w:marRight w:val="0"/>
          <w:marTop w:val="0"/>
          <w:marBottom w:val="0"/>
          <w:divBdr>
            <w:top w:val="none" w:sz="0" w:space="0" w:color="auto"/>
            <w:left w:val="none" w:sz="0" w:space="0" w:color="auto"/>
            <w:bottom w:val="none" w:sz="0" w:space="0" w:color="auto"/>
            <w:right w:val="none" w:sz="0" w:space="0" w:color="auto"/>
          </w:divBdr>
        </w:div>
      </w:divsChild>
    </w:div>
    <w:div w:id="222257030">
      <w:bodyDiv w:val="1"/>
      <w:marLeft w:val="0"/>
      <w:marRight w:val="0"/>
      <w:marTop w:val="0"/>
      <w:marBottom w:val="0"/>
      <w:divBdr>
        <w:top w:val="none" w:sz="0" w:space="0" w:color="auto"/>
        <w:left w:val="none" w:sz="0" w:space="0" w:color="auto"/>
        <w:bottom w:val="none" w:sz="0" w:space="0" w:color="auto"/>
        <w:right w:val="none" w:sz="0" w:space="0" w:color="auto"/>
      </w:divBdr>
      <w:divsChild>
        <w:div w:id="489947607">
          <w:marLeft w:val="0"/>
          <w:marRight w:val="0"/>
          <w:marTop w:val="0"/>
          <w:marBottom w:val="0"/>
          <w:divBdr>
            <w:top w:val="none" w:sz="0" w:space="0" w:color="auto"/>
            <w:left w:val="none" w:sz="0" w:space="0" w:color="auto"/>
            <w:bottom w:val="none" w:sz="0" w:space="0" w:color="auto"/>
            <w:right w:val="none" w:sz="0" w:space="0" w:color="auto"/>
          </w:divBdr>
          <w:divsChild>
            <w:div w:id="16920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0377">
      <w:bodyDiv w:val="1"/>
      <w:marLeft w:val="0"/>
      <w:marRight w:val="0"/>
      <w:marTop w:val="0"/>
      <w:marBottom w:val="0"/>
      <w:divBdr>
        <w:top w:val="none" w:sz="0" w:space="0" w:color="auto"/>
        <w:left w:val="none" w:sz="0" w:space="0" w:color="auto"/>
        <w:bottom w:val="none" w:sz="0" w:space="0" w:color="auto"/>
        <w:right w:val="none" w:sz="0" w:space="0" w:color="auto"/>
      </w:divBdr>
      <w:divsChild>
        <w:div w:id="1867711745">
          <w:marLeft w:val="0"/>
          <w:marRight w:val="0"/>
          <w:marTop w:val="0"/>
          <w:marBottom w:val="0"/>
          <w:divBdr>
            <w:top w:val="none" w:sz="0" w:space="0" w:color="auto"/>
            <w:left w:val="none" w:sz="0" w:space="0" w:color="auto"/>
            <w:bottom w:val="none" w:sz="0" w:space="0" w:color="auto"/>
            <w:right w:val="none" w:sz="0" w:space="0" w:color="auto"/>
          </w:divBdr>
          <w:divsChild>
            <w:div w:id="4615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9230">
      <w:bodyDiv w:val="1"/>
      <w:marLeft w:val="0"/>
      <w:marRight w:val="0"/>
      <w:marTop w:val="0"/>
      <w:marBottom w:val="0"/>
      <w:divBdr>
        <w:top w:val="none" w:sz="0" w:space="0" w:color="auto"/>
        <w:left w:val="none" w:sz="0" w:space="0" w:color="auto"/>
        <w:bottom w:val="none" w:sz="0" w:space="0" w:color="auto"/>
        <w:right w:val="none" w:sz="0" w:space="0" w:color="auto"/>
      </w:divBdr>
    </w:div>
    <w:div w:id="231083702">
      <w:bodyDiv w:val="1"/>
      <w:marLeft w:val="0"/>
      <w:marRight w:val="0"/>
      <w:marTop w:val="0"/>
      <w:marBottom w:val="0"/>
      <w:divBdr>
        <w:top w:val="none" w:sz="0" w:space="0" w:color="auto"/>
        <w:left w:val="none" w:sz="0" w:space="0" w:color="auto"/>
        <w:bottom w:val="none" w:sz="0" w:space="0" w:color="auto"/>
        <w:right w:val="none" w:sz="0" w:space="0" w:color="auto"/>
      </w:divBdr>
      <w:divsChild>
        <w:div w:id="1731999324">
          <w:marLeft w:val="0"/>
          <w:marRight w:val="0"/>
          <w:marTop w:val="0"/>
          <w:marBottom w:val="0"/>
          <w:divBdr>
            <w:top w:val="none" w:sz="0" w:space="0" w:color="auto"/>
            <w:left w:val="none" w:sz="0" w:space="0" w:color="auto"/>
            <w:bottom w:val="none" w:sz="0" w:space="0" w:color="auto"/>
            <w:right w:val="none" w:sz="0" w:space="0" w:color="auto"/>
          </w:divBdr>
          <w:divsChild>
            <w:div w:id="8146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4431">
      <w:bodyDiv w:val="1"/>
      <w:marLeft w:val="0"/>
      <w:marRight w:val="0"/>
      <w:marTop w:val="0"/>
      <w:marBottom w:val="0"/>
      <w:divBdr>
        <w:top w:val="none" w:sz="0" w:space="0" w:color="auto"/>
        <w:left w:val="none" w:sz="0" w:space="0" w:color="auto"/>
        <w:bottom w:val="none" w:sz="0" w:space="0" w:color="auto"/>
        <w:right w:val="none" w:sz="0" w:space="0" w:color="auto"/>
      </w:divBdr>
      <w:divsChild>
        <w:div w:id="1310743442">
          <w:marLeft w:val="0"/>
          <w:marRight w:val="0"/>
          <w:marTop w:val="0"/>
          <w:marBottom w:val="0"/>
          <w:divBdr>
            <w:top w:val="none" w:sz="0" w:space="0" w:color="auto"/>
            <w:left w:val="none" w:sz="0" w:space="0" w:color="auto"/>
            <w:bottom w:val="none" w:sz="0" w:space="0" w:color="auto"/>
            <w:right w:val="none" w:sz="0" w:space="0" w:color="auto"/>
          </w:divBdr>
        </w:div>
      </w:divsChild>
    </w:div>
    <w:div w:id="263340714">
      <w:bodyDiv w:val="1"/>
      <w:marLeft w:val="0"/>
      <w:marRight w:val="0"/>
      <w:marTop w:val="0"/>
      <w:marBottom w:val="0"/>
      <w:divBdr>
        <w:top w:val="none" w:sz="0" w:space="0" w:color="auto"/>
        <w:left w:val="none" w:sz="0" w:space="0" w:color="auto"/>
        <w:bottom w:val="none" w:sz="0" w:space="0" w:color="auto"/>
        <w:right w:val="none" w:sz="0" w:space="0" w:color="auto"/>
      </w:divBdr>
      <w:divsChild>
        <w:div w:id="688677048">
          <w:marLeft w:val="0"/>
          <w:marRight w:val="0"/>
          <w:marTop w:val="0"/>
          <w:marBottom w:val="0"/>
          <w:divBdr>
            <w:top w:val="none" w:sz="0" w:space="0" w:color="auto"/>
            <w:left w:val="none" w:sz="0" w:space="0" w:color="auto"/>
            <w:bottom w:val="none" w:sz="0" w:space="0" w:color="auto"/>
            <w:right w:val="none" w:sz="0" w:space="0" w:color="auto"/>
          </w:divBdr>
          <w:divsChild>
            <w:div w:id="19693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09841">
      <w:bodyDiv w:val="1"/>
      <w:marLeft w:val="0"/>
      <w:marRight w:val="0"/>
      <w:marTop w:val="0"/>
      <w:marBottom w:val="0"/>
      <w:divBdr>
        <w:top w:val="none" w:sz="0" w:space="0" w:color="auto"/>
        <w:left w:val="none" w:sz="0" w:space="0" w:color="auto"/>
        <w:bottom w:val="none" w:sz="0" w:space="0" w:color="auto"/>
        <w:right w:val="none" w:sz="0" w:space="0" w:color="auto"/>
      </w:divBdr>
      <w:divsChild>
        <w:div w:id="1047071879">
          <w:marLeft w:val="0"/>
          <w:marRight w:val="0"/>
          <w:marTop w:val="0"/>
          <w:marBottom w:val="0"/>
          <w:divBdr>
            <w:top w:val="none" w:sz="0" w:space="0" w:color="auto"/>
            <w:left w:val="none" w:sz="0" w:space="0" w:color="auto"/>
            <w:bottom w:val="none" w:sz="0" w:space="0" w:color="auto"/>
            <w:right w:val="none" w:sz="0" w:space="0" w:color="auto"/>
          </w:divBdr>
          <w:divsChild>
            <w:div w:id="1738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1586">
      <w:bodyDiv w:val="1"/>
      <w:marLeft w:val="0"/>
      <w:marRight w:val="0"/>
      <w:marTop w:val="0"/>
      <w:marBottom w:val="0"/>
      <w:divBdr>
        <w:top w:val="none" w:sz="0" w:space="0" w:color="auto"/>
        <w:left w:val="none" w:sz="0" w:space="0" w:color="auto"/>
        <w:bottom w:val="none" w:sz="0" w:space="0" w:color="auto"/>
        <w:right w:val="none" w:sz="0" w:space="0" w:color="auto"/>
      </w:divBdr>
      <w:divsChild>
        <w:div w:id="544753910">
          <w:marLeft w:val="0"/>
          <w:marRight w:val="0"/>
          <w:marTop w:val="0"/>
          <w:marBottom w:val="0"/>
          <w:divBdr>
            <w:top w:val="none" w:sz="0" w:space="0" w:color="auto"/>
            <w:left w:val="none" w:sz="0" w:space="0" w:color="auto"/>
            <w:bottom w:val="none" w:sz="0" w:space="0" w:color="auto"/>
            <w:right w:val="none" w:sz="0" w:space="0" w:color="auto"/>
          </w:divBdr>
          <w:divsChild>
            <w:div w:id="78073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6684">
      <w:bodyDiv w:val="1"/>
      <w:marLeft w:val="0"/>
      <w:marRight w:val="0"/>
      <w:marTop w:val="0"/>
      <w:marBottom w:val="0"/>
      <w:divBdr>
        <w:top w:val="none" w:sz="0" w:space="0" w:color="auto"/>
        <w:left w:val="none" w:sz="0" w:space="0" w:color="auto"/>
        <w:bottom w:val="none" w:sz="0" w:space="0" w:color="auto"/>
        <w:right w:val="none" w:sz="0" w:space="0" w:color="auto"/>
      </w:divBdr>
      <w:divsChild>
        <w:div w:id="2072730721">
          <w:marLeft w:val="0"/>
          <w:marRight w:val="0"/>
          <w:marTop w:val="0"/>
          <w:marBottom w:val="0"/>
          <w:divBdr>
            <w:top w:val="none" w:sz="0" w:space="0" w:color="auto"/>
            <w:left w:val="none" w:sz="0" w:space="0" w:color="auto"/>
            <w:bottom w:val="none" w:sz="0" w:space="0" w:color="auto"/>
            <w:right w:val="none" w:sz="0" w:space="0" w:color="auto"/>
          </w:divBdr>
          <w:divsChild>
            <w:div w:id="1850825772">
              <w:marLeft w:val="0"/>
              <w:marRight w:val="0"/>
              <w:marTop w:val="0"/>
              <w:marBottom w:val="0"/>
              <w:divBdr>
                <w:top w:val="none" w:sz="0" w:space="0" w:color="auto"/>
                <w:left w:val="none" w:sz="0" w:space="0" w:color="auto"/>
                <w:bottom w:val="none" w:sz="0" w:space="0" w:color="auto"/>
                <w:right w:val="none" w:sz="0" w:space="0" w:color="auto"/>
              </w:divBdr>
              <w:divsChild>
                <w:div w:id="263999725">
                  <w:marLeft w:val="0"/>
                  <w:marRight w:val="0"/>
                  <w:marTop w:val="0"/>
                  <w:marBottom w:val="0"/>
                  <w:divBdr>
                    <w:top w:val="none" w:sz="0" w:space="0" w:color="auto"/>
                    <w:left w:val="none" w:sz="0" w:space="0" w:color="auto"/>
                    <w:bottom w:val="none" w:sz="0" w:space="0" w:color="auto"/>
                    <w:right w:val="none" w:sz="0" w:space="0" w:color="auto"/>
                  </w:divBdr>
                </w:div>
                <w:div w:id="636836846">
                  <w:marLeft w:val="0"/>
                  <w:marRight w:val="0"/>
                  <w:marTop w:val="0"/>
                  <w:marBottom w:val="0"/>
                  <w:divBdr>
                    <w:top w:val="none" w:sz="0" w:space="0" w:color="auto"/>
                    <w:left w:val="none" w:sz="0" w:space="0" w:color="auto"/>
                    <w:bottom w:val="none" w:sz="0" w:space="0" w:color="auto"/>
                    <w:right w:val="none" w:sz="0" w:space="0" w:color="auto"/>
                  </w:divBdr>
                </w:div>
              </w:divsChild>
            </w:div>
            <w:div w:id="9474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673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81">
          <w:marLeft w:val="0"/>
          <w:marRight w:val="0"/>
          <w:marTop w:val="0"/>
          <w:marBottom w:val="0"/>
          <w:divBdr>
            <w:top w:val="none" w:sz="0" w:space="0" w:color="auto"/>
            <w:left w:val="none" w:sz="0" w:space="0" w:color="auto"/>
            <w:bottom w:val="none" w:sz="0" w:space="0" w:color="auto"/>
            <w:right w:val="none" w:sz="0" w:space="0" w:color="auto"/>
          </w:divBdr>
        </w:div>
      </w:divsChild>
    </w:div>
    <w:div w:id="329259109">
      <w:bodyDiv w:val="1"/>
      <w:marLeft w:val="0"/>
      <w:marRight w:val="0"/>
      <w:marTop w:val="0"/>
      <w:marBottom w:val="0"/>
      <w:divBdr>
        <w:top w:val="none" w:sz="0" w:space="0" w:color="auto"/>
        <w:left w:val="none" w:sz="0" w:space="0" w:color="auto"/>
        <w:bottom w:val="none" w:sz="0" w:space="0" w:color="auto"/>
        <w:right w:val="none" w:sz="0" w:space="0" w:color="auto"/>
      </w:divBdr>
    </w:div>
    <w:div w:id="329406653">
      <w:bodyDiv w:val="1"/>
      <w:marLeft w:val="0"/>
      <w:marRight w:val="0"/>
      <w:marTop w:val="0"/>
      <w:marBottom w:val="0"/>
      <w:divBdr>
        <w:top w:val="none" w:sz="0" w:space="0" w:color="auto"/>
        <w:left w:val="none" w:sz="0" w:space="0" w:color="auto"/>
        <w:bottom w:val="none" w:sz="0" w:space="0" w:color="auto"/>
        <w:right w:val="none" w:sz="0" w:space="0" w:color="auto"/>
      </w:divBdr>
      <w:divsChild>
        <w:div w:id="1363243613">
          <w:marLeft w:val="0"/>
          <w:marRight w:val="0"/>
          <w:marTop w:val="0"/>
          <w:marBottom w:val="0"/>
          <w:divBdr>
            <w:top w:val="none" w:sz="0" w:space="0" w:color="auto"/>
            <w:left w:val="none" w:sz="0" w:space="0" w:color="auto"/>
            <w:bottom w:val="none" w:sz="0" w:space="0" w:color="auto"/>
            <w:right w:val="none" w:sz="0" w:space="0" w:color="auto"/>
          </w:divBdr>
        </w:div>
      </w:divsChild>
    </w:div>
    <w:div w:id="370954974">
      <w:bodyDiv w:val="1"/>
      <w:marLeft w:val="0"/>
      <w:marRight w:val="0"/>
      <w:marTop w:val="0"/>
      <w:marBottom w:val="0"/>
      <w:divBdr>
        <w:top w:val="none" w:sz="0" w:space="0" w:color="auto"/>
        <w:left w:val="none" w:sz="0" w:space="0" w:color="auto"/>
        <w:bottom w:val="none" w:sz="0" w:space="0" w:color="auto"/>
        <w:right w:val="none" w:sz="0" w:space="0" w:color="auto"/>
      </w:divBdr>
      <w:divsChild>
        <w:div w:id="824854844">
          <w:marLeft w:val="0"/>
          <w:marRight w:val="0"/>
          <w:marTop w:val="0"/>
          <w:marBottom w:val="0"/>
          <w:divBdr>
            <w:top w:val="none" w:sz="0" w:space="0" w:color="auto"/>
            <w:left w:val="none" w:sz="0" w:space="0" w:color="auto"/>
            <w:bottom w:val="none" w:sz="0" w:space="0" w:color="auto"/>
            <w:right w:val="none" w:sz="0" w:space="0" w:color="auto"/>
          </w:divBdr>
          <w:divsChild>
            <w:div w:id="10698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8936">
      <w:bodyDiv w:val="1"/>
      <w:marLeft w:val="0"/>
      <w:marRight w:val="0"/>
      <w:marTop w:val="0"/>
      <w:marBottom w:val="0"/>
      <w:divBdr>
        <w:top w:val="none" w:sz="0" w:space="0" w:color="auto"/>
        <w:left w:val="none" w:sz="0" w:space="0" w:color="auto"/>
        <w:bottom w:val="none" w:sz="0" w:space="0" w:color="auto"/>
        <w:right w:val="none" w:sz="0" w:space="0" w:color="auto"/>
      </w:divBdr>
    </w:div>
    <w:div w:id="409624696">
      <w:bodyDiv w:val="1"/>
      <w:marLeft w:val="0"/>
      <w:marRight w:val="0"/>
      <w:marTop w:val="0"/>
      <w:marBottom w:val="0"/>
      <w:divBdr>
        <w:top w:val="none" w:sz="0" w:space="0" w:color="auto"/>
        <w:left w:val="none" w:sz="0" w:space="0" w:color="auto"/>
        <w:bottom w:val="none" w:sz="0" w:space="0" w:color="auto"/>
        <w:right w:val="none" w:sz="0" w:space="0" w:color="auto"/>
      </w:divBdr>
      <w:divsChild>
        <w:div w:id="52198643">
          <w:marLeft w:val="0"/>
          <w:marRight w:val="0"/>
          <w:marTop w:val="0"/>
          <w:marBottom w:val="0"/>
          <w:divBdr>
            <w:top w:val="none" w:sz="0" w:space="0" w:color="auto"/>
            <w:left w:val="none" w:sz="0" w:space="0" w:color="auto"/>
            <w:bottom w:val="none" w:sz="0" w:space="0" w:color="auto"/>
            <w:right w:val="none" w:sz="0" w:space="0" w:color="auto"/>
          </w:divBdr>
          <w:divsChild>
            <w:div w:id="9114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90570">
      <w:bodyDiv w:val="1"/>
      <w:marLeft w:val="0"/>
      <w:marRight w:val="0"/>
      <w:marTop w:val="0"/>
      <w:marBottom w:val="0"/>
      <w:divBdr>
        <w:top w:val="none" w:sz="0" w:space="0" w:color="auto"/>
        <w:left w:val="none" w:sz="0" w:space="0" w:color="auto"/>
        <w:bottom w:val="none" w:sz="0" w:space="0" w:color="auto"/>
        <w:right w:val="none" w:sz="0" w:space="0" w:color="auto"/>
      </w:divBdr>
      <w:divsChild>
        <w:div w:id="63723703">
          <w:marLeft w:val="0"/>
          <w:marRight w:val="0"/>
          <w:marTop w:val="0"/>
          <w:marBottom w:val="0"/>
          <w:divBdr>
            <w:top w:val="none" w:sz="0" w:space="0" w:color="auto"/>
            <w:left w:val="none" w:sz="0" w:space="0" w:color="auto"/>
            <w:bottom w:val="none" w:sz="0" w:space="0" w:color="auto"/>
            <w:right w:val="none" w:sz="0" w:space="0" w:color="auto"/>
          </w:divBdr>
          <w:divsChild>
            <w:div w:id="11109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0035">
      <w:bodyDiv w:val="1"/>
      <w:marLeft w:val="0"/>
      <w:marRight w:val="0"/>
      <w:marTop w:val="0"/>
      <w:marBottom w:val="0"/>
      <w:divBdr>
        <w:top w:val="none" w:sz="0" w:space="0" w:color="auto"/>
        <w:left w:val="none" w:sz="0" w:space="0" w:color="auto"/>
        <w:bottom w:val="none" w:sz="0" w:space="0" w:color="auto"/>
        <w:right w:val="none" w:sz="0" w:space="0" w:color="auto"/>
      </w:divBdr>
      <w:divsChild>
        <w:div w:id="45108600">
          <w:marLeft w:val="0"/>
          <w:marRight w:val="0"/>
          <w:marTop w:val="0"/>
          <w:marBottom w:val="0"/>
          <w:divBdr>
            <w:top w:val="none" w:sz="0" w:space="0" w:color="auto"/>
            <w:left w:val="none" w:sz="0" w:space="0" w:color="auto"/>
            <w:bottom w:val="none" w:sz="0" w:space="0" w:color="auto"/>
            <w:right w:val="none" w:sz="0" w:space="0" w:color="auto"/>
          </w:divBdr>
          <w:divsChild>
            <w:div w:id="1397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00">
      <w:bodyDiv w:val="1"/>
      <w:marLeft w:val="0"/>
      <w:marRight w:val="0"/>
      <w:marTop w:val="0"/>
      <w:marBottom w:val="0"/>
      <w:divBdr>
        <w:top w:val="none" w:sz="0" w:space="0" w:color="auto"/>
        <w:left w:val="none" w:sz="0" w:space="0" w:color="auto"/>
        <w:bottom w:val="none" w:sz="0" w:space="0" w:color="auto"/>
        <w:right w:val="none" w:sz="0" w:space="0" w:color="auto"/>
      </w:divBdr>
      <w:divsChild>
        <w:div w:id="322509900">
          <w:marLeft w:val="0"/>
          <w:marRight w:val="0"/>
          <w:marTop w:val="0"/>
          <w:marBottom w:val="0"/>
          <w:divBdr>
            <w:top w:val="none" w:sz="0" w:space="0" w:color="auto"/>
            <w:left w:val="none" w:sz="0" w:space="0" w:color="auto"/>
            <w:bottom w:val="none" w:sz="0" w:space="0" w:color="auto"/>
            <w:right w:val="none" w:sz="0" w:space="0" w:color="auto"/>
          </w:divBdr>
          <w:divsChild>
            <w:div w:id="3907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2171">
      <w:bodyDiv w:val="1"/>
      <w:marLeft w:val="0"/>
      <w:marRight w:val="0"/>
      <w:marTop w:val="0"/>
      <w:marBottom w:val="0"/>
      <w:divBdr>
        <w:top w:val="none" w:sz="0" w:space="0" w:color="auto"/>
        <w:left w:val="none" w:sz="0" w:space="0" w:color="auto"/>
        <w:bottom w:val="none" w:sz="0" w:space="0" w:color="auto"/>
        <w:right w:val="none" w:sz="0" w:space="0" w:color="auto"/>
      </w:divBdr>
    </w:div>
    <w:div w:id="438188384">
      <w:bodyDiv w:val="1"/>
      <w:marLeft w:val="0"/>
      <w:marRight w:val="0"/>
      <w:marTop w:val="0"/>
      <w:marBottom w:val="0"/>
      <w:divBdr>
        <w:top w:val="none" w:sz="0" w:space="0" w:color="auto"/>
        <w:left w:val="none" w:sz="0" w:space="0" w:color="auto"/>
        <w:bottom w:val="none" w:sz="0" w:space="0" w:color="auto"/>
        <w:right w:val="none" w:sz="0" w:space="0" w:color="auto"/>
      </w:divBdr>
      <w:divsChild>
        <w:div w:id="1730953808">
          <w:marLeft w:val="0"/>
          <w:marRight w:val="0"/>
          <w:marTop w:val="0"/>
          <w:marBottom w:val="0"/>
          <w:divBdr>
            <w:top w:val="none" w:sz="0" w:space="0" w:color="auto"/>
            <w:left w:val="none" w:sz="0" w:space="0" w:color="auto"/>
            <w:bottom w:val="none" w:sz="0" w:space="0" w:color="auto"/>
            <w:right w:val="none" w:sz="0" w:space="0" w:color="auto"/>
          </w:divBdr>
          <w:divsChild>
            <w:div w:id="1519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7771">
      <w:bodyDiv w:val="1"/>
      <w:marLeft w:val="0"/>
      <w:marRight w:val="0"/>
      <w:marTop w:val="0"/>
      <w:marBottom w:val="0"/>
      <w:divBdr>
        <w:top w:val="none" w:sz="0" w:space="0" w:color="auto"/>
        <w:left w:val="none" w:sz="0" w:space="0" w:color="auto"/>
        <w:bottom w:val="none" w:sz="0" w:space="0" w:color="auto"/>
        <w:right w:val="none" w:sz="0" w:space="0" w:color="auto"/>
      </w:divBdr>
      <w:divsChild>
        <w:div w:id="1396318604">
          <w:marLeft w:val="0"/>
          <w:marRight w:val="0"/>
          <w:marTop w:val="0"/>
          <w:marBottom w:val="0"/>
          <w:divBdr>
            <w:top w:val="none" w:sz="0" w:space="0" w:color="auto"/>
            <w:left w:val="none" w:sz="0" w:space="0" w:color="auto"/>
            <w:bottom w:val="none" w:sz="0" w:space="0" w:color="auto"/>
            <w:right w:val="none" w:sz="0" w:space="0" w:color="auto"/>
          </w:divBdr>
          <w:divsChild>
            <w:div w:id="2511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5728">
      <w:bodyDiv w:val="1"/>
      <w:marLeft w:val="0"/>
      <w:marRight w:val="0"/>
      <w:marTop w:val="0"/>
      <w:marBottom w:val="0"/>
      <w:divBdr>
        <w:top w:val="none" w:sz="0" w:space="0" w:color="auto"/>
        <w:left w:val="none" w:sz="0" w:space="0" w:color="auto"/>
        <w:bottom w:val="none" w:sz="0" w:space="0" w:color="auto"/>
        <w:right w:val="none" w:sz="0" w:space="0" w:color="auto"/>
      </w:divBdr>
      <w:divsChild>
        <w:div w:id="1355422159">
          <w:marLeft w:val="0"/>
          <w:marRight w:val="0"/>
          <w:marTop w:val="0"/>
          <w:marBottom w:val="0"/>
          <w:divBdr>
            <w:top w:val="none" w:sz="0" w:space="0" w:color="auto"/>
            <w:left w:val="none" w:sz="0" w:space="0" w:color="auto"/>
            <w:bottom w:val="none" w:sz="0" w:space="0" w:color="auto"/>
            <w:right w:val="none" w:sz="0" w:space="0" w:color="auto"/>
          </w:divBdr>
          <w:divsChild>
            <w:div w:id="948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064">
      <w:bodyDiv w:val="1"/>
      <w:marLeft w:val="0"/>
      <w:marRight w:val="0"/>
      <w:marTop w:val="0"/>
      <w:marBottom w:val="0"/>
      <w:divBdr>
        <w:top w:val="none" w:sz="0" w:space="0" w:color="auto"/>
        <w:left w:val="none" w:sz="0" w:space="0" w:color="auto"/>
        <w:bottom w:val="none" w:sz="0" w:space="0" w:color="auto"/>
        <w:right w:val="none" w:sz="0" w:space="0" w:color="auto"/>
      </w:divBdr>
      <w:divsChild>
        <w:div w:id="80100967">
          <w:marLeft w:val="0"/>
          <w:marRight w:val="0"/>
          <w:marTop w:val="0"/>
          <w:marBottom w:val="0"/>
          <w:divBdr>
            <w:top w:val="none" w:sz="0" w:space="0" w:color="auto"/>
            <w:left w:val="none" w:sz="0" w:space="0" w:color="auto"/>
            <w:bottom w:val="none" w:sz="0" w:space="0" w:color="auto"/>
            <w:right w:val="none" w:sz="0" w:space="0" w:color="auto"/>
          </w:divBdr>
          <w:divsChild>
            <w:div w:id="8291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3269">
      <w:bodyDiv w:val="1"/>
      <w:marLeft w:val="0"/>
      <w:marRight w:val="0"/>
      <w:marTop w:val="0"/>
      <w:marBottom w:val="0"/>
      <w:divBdr>
        <w:top w:val="none" w:sz="0" w:space="0" w:color="auto"/>
        <w:left w:val="none" w:sz="0" w:space="0" w:color="auto"/>
        <w:bottom w:val="none" w:sz="0" w:space="0" w:color="auto"/>
        <w:right w:val="none" w:sz="0" w:space="0" w:color="auto"/>
      </w:divBdr>
      <w:divsChild>
        <w:div w:id="1226604467">
          <w:marLeft w:val="0"/>
          <w:marRight w:val="0"/>
          <w:marTop w:val="0"/>
          <w:marBottom w:val="0"/>
          <w:divBdr>
            <w:top w:val="none" w:sz="0" w:space="0" w:color="auto"/>
            <w:left w:val="none" w:sz="0" w:space="0" w:color="auto"/>
            <w:bottom w:val="none" w:sz="0" w:space="0" w:color="auto"/>
            <w:right w:val="none" w:sz="0" w:space="0" w:color="auto"/>
          </w:divBdr>
          <w:divsChild>
            <w:div w:id="13640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5489">
      <w:bodyDiv w:val="1"/>
      <w:marLeft w:val="0"/>
      <w:marRight w:val="0"/>
      <w:marTop w:val="0"/>
      <w:marBottom w:val="0"/>
      <w:divBdr>
        <w:top w:val="none" w:sz="0" w:space="0" w:color="auto"/>
        <w:left w:val="none" w:sz="0" w:space="0" w:color="auto"/>
        <w:bottom w:val="none" w:sz="0" w:space="0" w:color="auto"/>
        <w:right w:val="none" w:sz="0" w:space="0" w:color="auto"/>
      </w:divBdr>
      <w:divsChild>
        <w:div w:id="968166675">
          <w:marLeft w:val="0"/>
          <w:marRight w:val="0"/>
          <w:marTop w:val="0"/>
          <w:marBottom w:val="0"/>
          <w:divBdr>
            <w:top w:val="none" w:sz="0" w:space="0" w:color="auto"/>
            <w:left w:val="none" w:sz="0" w:space="0" w:color="auto"/>
            <w:bottom w:val="none" w:sz="0" w:space="0" w:color="auto"/>
            <w:right w:val="none" w:sz="0" w:space="0" w:color="auto"/>
          </w:divBdr>
          <w:divsChild>
            <w:div w:id="6804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9969">
      <w:bodyDiv w:val="1"/>
      <w:marLeft w:val="0"/>
      <w:marRight w:val="0"/>
      <w:marTop w:val="0"/>
      <w:marBottom w:val="0"/>
      <w:divBdr>
        <w:top w:val="none" w:sz="0" w:space="0" w:color="auto"/>
        <w:left w:val="none" w:sz="0" w:space="0" w:color="auto"/>
        <w:bottom w:val="none" w:sz="0" w:space="0" w:color="auto"/>
        <w:right w:val="none" w:sz="0" w:space="0" w:color="auto"/>
      </w:divBdr>
      <w:divsChild>
        <w:div w:id="23092995">
          <w:marLeft w:val="0"/>
          <w:marRight w:val="0"/>
          <w:marTop w:val="0"/>
          <w:marBottom w:val="0"/>
          <w:divBdr>
            <w:top w:val="none" w:sz="0" w:space="0" w:color="auto"/>
            <w:left w:val="none" w:sz="0" w:space="0" w:color="auto"/>
            <w:bottom w:val="none" w:sz="0" w:space="0" w:color="auto"/>
            <w:right w:val="none" w:sz="0" w:space="0" w:color="auto"/>
          </w:divBdr>
          <w:divsChild>
            <w:div w:id="8868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0757">
      <w:bodyDiv w:val="1"/>
      <w:marLeft w:val="0"/>
      <w:marRight w:val="0"/>
      <w:marTop w:val="0"/>
      <w:marBottom w:val="0"/>
      <w:divBdr>
        <w:top w:val="none" w:sz="0" w:space="0" w:color="auto"/>
        <w:left w:val="none" w:sz="0" w:space="0" w:color="auto"/>
        <w:bottom w:val="none" w:sz="0" w:space="0" w:color="auto"/>
        <w:right w:val="none" w:sz="0" w:space="0" w:color="auto"/>
      </w:divBdr>
      <w:divsChild>
        <w:div w:id="221717067">
          <w:marLeft w:val="0"/>
          <w:marRight w:val="0"/>
          <w:marTop w:val="0"/>
          <w:marBottom w:val="0"/>
          <w:divBdr>
            <w:top w:val="none" w:sz="0" w:space="0" w:color="auto"/>
            <w:left w:val="none" w:sz="0" w:space="0" w:color="auto"/>
            <w:bottom w:val="none" w:sz="0" w:space="0" w:color="auto"/>
            <w:right w:val="none" w:sz="0" w:space="0" w:color="auto"/>
          </w:divBdr>
          <w:divsChild>
            <w:div w:id="468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4713">
      <w:bodyDiv w:val="1"/>
      <w:marLeft w:val="0"/>
      <w:marRight w:val="0"/>
      <w:marTop w:val="0"/>
      <w:marBottom w:val="0"/>
      <w:divBdr>
        <w:top w:val="none" w:sz="0" w:space="0" w:color="auto"/>
        <w:left w:val="none" w:sz="0" w:space="0" w:color="auto"/>
        <w:bottom w:val="none" w:sz="0" w:space="0" w:color="auto"/>
        <w:right w:val="none" w:sz="0" w:space="0" w:color="auto"/>
      </w:divBdr>
    </w:div>
    <w:div w:id="572353203">
      <w:bodyDiv w:val="1"/>
      <w:marLeft w:val="0"/>
      <w:marRight w:val="0"/>
      <w:marTop w:val="0"/>
      <w:marBottom w:val="0"/>
      <w:divBdr>
        <w:top w:val="none" w:sz="0" w:space="0" w:color="auto"/>
        <w:left w:val="none" w:sz="0" w:space="0" w:color="auto"/>
        <w:bottom w:val="none" w:sz="0" w:space="0" w:color="auto"/>
        <w:right w:val="none" w:sz="0" w:space="0" w:color="auto"/>
      </w:divBdr>
    </w:div>
    <w:div w:id="581640770">
      <w:bodyDiv w:val="1"/>
      <w:marLeft w:val="0"/>
      <w:marRight w:val="0"/>
      <w:marTop w:val="0"/>
      <w:marBottom w:val="0"/>
      <w:divBdr>
        <w:top w:val="none" w:sz="0" w:space="0" w:color="auto"/>
        <w:left w:val="none" w:sz="0" w:space="0" w:color="auto"/>
        <w:bottom w:val="none" w:sz="0" w:space="0" w:color="auto"/>
        <w:right w:val="none" w:sz="0" w:space="0" w:color="auto"/>
      </w:divBdr>
      <w:divsChild>
        <w:div w:id="1695763542">
          <w:marLeft w:val="0"/>
          <w:marRight w:val="0"/>
          <w:marTop w:val="0"/>
          <w:marBottom w:val="0"/>
          <w:divBdr>
            <w:top w:val="none" w:sz="0" w:space="0" w:color="auto"/>
            <w:left w:val="none" w:sz="0" w:space="0" w:color="auto"/>
            <w:bottom w:val="none" w:sz="0" w:space="0" w:color="auto"/>
            <w:right w:val="none" w:sz="0" w:space="0" w:color="auto"/>
          </w:divBdr>
          <w:divsChild>
            <w:div w:id="6609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8997">
      <w:bodyDiv w:val="1"/>
      <w:marLeft w:val="0"/>
      <w:marRight w:val="0"/>
      <w:marTop w:val="0"/>
      <w:marBottom w:val="0"/>
      <w:divBdr>
        <w:top w:val="none" w:sz="0" w:space="0" w:color="auto"/>
        <w:left w:val="none" w:sz="0" w:space="0" w:color="auto"/>
        <w:bottom w:val="none" w:sz="0" w:space="0" w:color="auto"/>
        <w:right w:val="none" w:sz="0" w:space="0" w:color="auto"/>
      </w:divBdr>
      <w:divsChild>
        <w:div w:id="526872464">
          <w:marLeft w:val="0"/>
          <w:marRight w:val="0"/>
          <w:marTop w:val="0"/>
          <w:marBottom w:val="0"/>
          <w:divBdr>
            <w:top w:val="none" w:sz="0" w:space="0" w:color="auto"/>
            <w:left w:val="none" w:sz="0" w:space="0" w:color="auto"/>
            <w:bottom w:val="none" w:sz="0" w:space="0" w:color="auto"/>
            <w:right w:val="none" w:sz="0" w:space="0" w:color="auto"/>
          </w:divBdr>
          <w:divsChild>
            <w:div w:id="16230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5406">
      <w:bodyDiv w:val="1"/>
      <w:marLeft w:val="0"/>
      <w:marRight w:val="0"/>
      <w:marTop w:val="0"/>
      <w:marBottom w:val="0"/>
      <w:divBdr>
        <w:top w:val="none" w:sz="0" w:space="0" w:color="auto"/>
        <w:left w:val="none" w:sz="0" w:space="0" w:color="auto"/>
        <w:bottom w:val="none" w:sz="0" w:space="0" w:color="auto"/>
        <w:right w:val="none" w:sz="0" w:space="0" w:color="auto"/>
      </w:divBdr>
    </w:div>
    <w:div w:id="604114678">
      <w:bodyDiv w:val="1"/>
      <w:marLeft w:val="0"/>
      <w:marRight w:val="0"/>
      <w:marTop w:val="0"/>
      <w:marBottom w:val="0"/>
      <w:divBdr>
        <w:top w:val="none" w:sz="0" w:space="0" w:color="auto"/>
        <w:left w:val="none" w:sz="0" w:space="0" w:color="auto"/>
        <w:bottom w:val="none" w:sz="0" w:space="0" w:color="auto"/>
        <w:right w:val="none" w:sz="0" w:space="0" w:color="auto"/>
      </w:divBdr>
      <w:divsChild>
        <w:div w:id="1996957539">
          <w:marLeft w:val="0"/>
          <w:marRight w:val="0"/>
          <w:marTop w:val="0"/>
          <w:marBottom w:val="0"/>
          <w:divBdr>
            <w:top w:val="none" w:sz="0" w:space="0" w:color="auto"/>
            <w:left w:val="none" w:sz="0" w:space="0" w:color="auto"/>
            <w:bottom w:val="none" w:sz="0" w:space="0" w:color="auto"/>
            <w:right w:val="none" w:sz="0" w:space="0" w:color="auto"/>
          </w:divBdr>
          <w:divsChild>
            <w:div w:id="12759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97221">
      <w:bodyDiv w:val="1"/>
      <w:marLeft w:val="0"/>
      <w:marRight w:val="0"/>
      <w:marTop w:val="0"/>
      <w:marBottom w:val="0"/>
      <w:divBdr>
        <w:top w:val="none" w:sz="0" w:space="0" w:color="auto"/>
        <w:left w:val="none" w:sz="0" w:space="0" w:color="auto"/>
        <w:bottom w:val="none" w:sz="0" w:space="0" w:color="auto"/>
        <w:right w:val="none" w:sz="0" w:space="0" w:color="auto"/>
      </w:divBdr>
      <w:divsChild>
        <w:div w:id="1301351286">
          <w:marLeft w:val="0"/>
          <w:marRight w:val="0"/>
          <w:marTop w:val="0"/>
          <w:marBottom w:val="0"/>
          <w:divBdr>
            <w:top w:val="none" w:sz="0" w:space="0" w:color="auto"/>
            <w:left w:val="none" w:sz="0" w:space="0" w:color="auto"/>
            <w:bottom w:val="none" w:sz="0" w:space="0" w:color="auto"/>
            <w:right w:val="none" w:sz="0" w:space="0" w:color="auto"/>
          </w:divBdr>
          <w:divsChild>
            <w:div w:id="21137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6567">
      <w:bodyDiv w:val="1"/>
      <w:marLeft w:val="0"/>
      <w:marRight w:val="0"/>
      <w:marTop w:val="0"/>
      <w:marBottom w:val="0"/>
      <w:divBdr>
        <w:top w:val="none" w:sz="0" w:space="0" w:color="auto"/>
        <w:left w:val="none" w:sz="0" w:space="0" w:color="auto"/>
        <w:bottom w:val="none" w:sz="0" w:space="0" w:color="auto"/>
        <w:right w:val="none" w:sz="0" w:space="0" w:color="auto"/>
      </w:divBdr>
      <w:divsChild>
        <w:div w:id="1729065736">
          <w:marLeft w:val="0"/>
          <w:marRight w:val="0"/>
          <w:marTop w:val="0"/>
          <w:marBottom w:val="0"/>
          <w:divBdr>
            <w:top w:val="none" w:sz="0" w:space="0" w:color="auto"/>
            <w:left w:val="none" w:sz="0" w:space="0" w:color="auto"/>
            <w:bottom w:val="none" w:sz="0" w:space="0" w:color="auto"/>
            <w:right w:val="none" w:sz="0" w:space="0" w:color="auto"/>
          </w:divBdr>
        </w:div>
      </w:divsChild>
    </w:div>
    <w:div w:id="652025649">
      <w:bodyDiv w:val="1"/>
      <w:marLeft w:val="0"/>
      <w:marRight w:val="0"/>
      <w:marTop w:val="0"/>
      <w:marBottom w:val="0"/>
      <w:divBdr>
        <w:top w:val="none" w:sz="0" w:space="0" w:color="auto"/>
        <w:left w:val="none" w:sz="0" w:space="0" w:color="auto"/>
        <w:bottom w:val="none" w:sz="0" w:space="0" w:color="auto"/>
        <w:right w:val="none" w:sz="0" w:space="0" w:color="auto"/>
      </w:divBdr>
      <w:divsChild>
        <w:div w:id="115610369">
          <w:marLeft w:val="0"/>
          <w:marRight w:val="0"/>
          <w:marTop w:val="0"/>
          <w:marBottom w:val="0"/>
          <w:divBdr>
            <w:top w:val="none" w:sz="0" w:space="0" w:color="auto"/>
            <w:left w:val="none" w:sz="0" w:space="0" w:color="auto"/>
            <w:bottom w:val="none" w:sz="0" w:space="0" w:color="auto"/>
            <w:right w:val="none" w:sz="0" w:space="0" w:color="auto"/>
          </w:divBdr>
        </w:div>
      </w:divsChild>
    </w:div>
    <w:div w:id="664088296">
      <w:bodyDiv w:val="1"/>
      <w:marLeft w:val="0"/>
      <w:marRight w:val="0"/>
      <w:marTop w:val="0"/>
      <w:marBottom w:val="0"/>
      <w:divBdr>
        <w:top w:val="none" w:sz="0" w:space="0" w:color="auto"/>
        <w:left w:val="none" w:sz="0" w:space="0" w:color="auto"/>
        <w:bottom w:val="none" w:sz="0" w:space="0" w:color="auto"/>
        <w:right w:val="none" w:sz="0" w:space="0" w:color="auto"/>
      </w:divBdr>
    </w:div>
    <w:div w:id="675111166">
      <w:bodyDiv w:val="1"/>
      <w:marLeft w:val="0"/>
      <w:marRight w:val="0"/>
      <w:marTop w:val="0"/>
      <w:marBottom w:val="0"/>
      <w:divBdr>
        <w:top w:val="none" w:sz="0" w:space="0" w:color="auto"/>
        <w:left w:val="none" w:sz="0" w:space="0" w:color="auto"/>
        <w:bottom w:val="none" w:sz="0" w:space="0" w:color="auto"/>
        <w:right w:val="none" w:sz="0" w:space="0" w:color="auto"/>
      </w:divBdr>
    </w:div>
    <w:div w:id="696274285">
      <w:bodyDiv w:val="1"/>
      <w:marLeft w:val="0"/>
      <w:marRight w:val="0"/>
      <w:marTop w:val="0"/>
      <w:marBottom w:val="0"/>
      <w:divBdr>
        <w:top w:val="none" w:sz="0" w:space="0" w:color="auto"/>
        <w:left w:val="none" w:sz="0" w:space="0" w:color="auto"/>
        <w:bottom w:val="none" w:sz="0" w:space="0" w:color="auto"/>
        <w:right w:val="none" w:sz="0" w:space="0" w:color="auto"/>
      </w:divBdr>
      <w:divsChild>
        <w:div w:id="361904026">
          <w:marLeft w:val="0"/>
          <w:marRight w:val="0"/>
          <w:marTop w:val="0"/>
          <w:marBottom w:val="0"/>
          <w:divBdr>
            <w:top w:val="none" w:sz="0" w:space="0" w:color="auto"/>
            <w:left w:val="none" w:sz="0" w:space="0" w:color="auto"/>
            <w:bottom w:val="none" w:sz="0" w:space="0" w:color="auto"/>
            <w:right w:val="none" w:sz="0" w:space="0" w:color="auto"/>
          </w:divBdr>
          <w:divsChild>
            <w:div w:id="7575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9193">
      <w:bodyDiv w:val="1"/>
      <w:marLeft w:val="0"/>
      <w:marRight w:val="0"/>
      <w:marTop w:val="0"/>
      <w:marBottom w:val="0"/>
      <w:divBdr>
        <w:top w:val="none" w:sz="0" w:space="0" w:color="auto"/>
        <w:left w:val="none" w:sz="0" w:space="0" w:color="auto"/>
        <w:bottom w:val="none" w:sz="0" w:space="0" w:color="auto"/>
        <w:right w:val="none" w:sz="0" w:space="0" w:color="auto"/>
      </w:divBdr>
      <w:divsChild>
        <w:div w:id="358239652">
          <w:marLeft w:val="0"/>
          <w:marRight w:val="0"/>
          <w:marTop w:val="0"/>
          <w:marBottom w:val="0"/>
          <w:divBdr>
            <w:top w:val="none" w:sz="0" w:space="0" w:color="auto"/>
            <w:left w:val="none" w:sz="0" w:space="0" w:color="auto"/>
            <w:bottom w:val="none" w:sz="0" w:space="0" w:color="auto"/>
            <w:right w:val="none" w:sz="0" w:space="0" w:color="auto"/>
          </w:divBdr>
          <w:divsChild>
            <w:div w:id="10470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5073">
      <w:bodyDiv w:val="1"/>
      <w:marLeft w:val="0"/>
      <w:marRight w:val="0"/>
      <w:marTop w:val="0"/>
      <w:marBottom w:val="0"/>
      <w:divBdr>
        <w:top w:val="none" w:sz="0" w:space="0" w:color="auto"/>
        <w:left w:val="none" w:sz="0" w:space="0" w:color="auto"/>
        <w:bottom w:val="none" w:sz="0" w:space="0" w:color="auto"/>
        <w:right w:val="none" w:sz="0" w:space="0" w:color="auto"/>
      </w:divBdr>
      <w:divsChild>
        <w:div w:id="329647045">
          <w:marLeft w:val="0"/>
          <w:marRight w:val="0"/>
          <w:marTop w:val="0"/>
          <w:marBottom w:val="0"/>
          <w:divBdr>
            <w:top w:val="none" w:sz="0" w:space="0" w:color="auto"/>
            <w:left w:val="none" w:sz="0" w:space="0" w:color="auto"/>
            <w:bottom w:val="none" w:sz="0" w:space="0" w:color="auto"/>
            <w:right w:val="none" w:sz="0" w:space="0" w:color="auto"/>
          </w:divBdr>
          <w:divsChild>
            <w:div w:id="9724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6801">
      <w:bodyDiv w:val="1"/>
      <w:marLeft w:val="0"/>
      <w:marRight w:val="0"/>
      <w:marTop w:val="0"/>
      <w:marBottom w:val="0"/>
      <w:divBdr>
        <w:top w:val="none" w:sz="0" w:space="0" w:color="auto"/>
        <w:left w:val="none" w:sz="0" w:space="0" w:color="auto"/>
        <w:bottom w:val="none" w:sz="0" w:space="0" w:color="auto"/>
        <w:right w:val="none" w:sz="0" w:space="0" w:color="auto"/>
      </w:divBdr>
      <w:divsChild>
        <w:div w:id="2044280457">
          <w:marLeft w:val="0"/>
          <w:marRight w:val="0"/>
          <w:marTop w:val="0"/>
          <w:marBottom w:val="0"/>
          <w:divBdr>
            <w:top w:val="none" w:sz="0" w:space="0" w:color="auto"/>
            <w:left w:val="none" w:sz="0" w:space="0" w:color="auto"/>
            <w:bottom w:val="none" w:sz="0" w:space="0" w:color="auto"/>
            <w:right w:val="none" w:sz="0" w:space="0" w:color="auto"/>
          </w:divBdr>
          <w:divsChild>
            <w:div w:id="11559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0248">
      <w:bodyDiv w:val="1"/>
      <w:marLeft w:val="0"/>
      <w:marRight w:val="0"/>
      <w:marTop w:val="0"/>
      <w:marBottom w:val="0"/>
      <w:divBdr>
        <w:top w:val="none" w:sz="0" w:space="0" w:color="auto"/>
        <w:left w:val="none" w:sz="0" w:space="0" w:color="auto"/>
        <w:bottom w:val="none" w:sz="0" w:space="0" w:color="auto"/>
        <w:right w:val="none" w:sz="0" w:space="0" w:color="auto"/>
      </w:divBdr>
      <w:divsChild>
        <w:div w:id="576356048">
          <w:marLeft w:val="0"/>
          <w:marRight w:val="0"/>
          <w:marTop w:val="0"/>
          <w:marBottom w:val="0"/>
          <w:divBdr>
            <w:top w:val="none" w:sz="0" w:space="0" w:color="auto"/>
            <w:left w:val="none" w:sz="0" w:space="0" w:color="auto"/>
            <w:bottom w:val="none" w:sz="0" w:space="0" w:color="auto"/>
            <w:right w:val="none" w:sz="0" w:space="0" w:color="auto"/>
          </w:divBdr>
          <w:divsChild>
            <w:div w:id="7863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89376">
      <w:bodyDiv w:val="1"/>
      <w:marLeft w:val="0"/>
      <w:marRight w:val="0"/>
      <w:marTop w:val="0"/>
      <w:marBottom w:val="0"/>
      <w:divBdr>
        <w:top w:val="none" w:sz="0" w:space="0" w:color="auto"/>
        <w:left w:val="none" w:sz="0" w:space="0" w:color="auto"/>
        <w:bottom w:val="none" w:sz="0" w:space="0" w:color="auto"/>
        <w:right w:val="none" w:sz="0" w:space="0" w:color="auto"/>
      </w:divBdr>
      <w:divsChild>
        <w:div w:id="25105134">
          <w:marLeft w:val="0"/>
          <w:marRight w:val="0"/>
          <w:marTop w:val="0"/>
          <w:marBottom w:val="0"/>
          <w:divBdr>
            <w:top w:val="none" w:sz="0" w:space="0" w:color="auto"/>
            <w:left w:val="none" w:sz="0" w:space="0" w:color="auto"/>
            <w:bottom w:val="none" w:sz="0" w:space="0" w:color="auto"/>
            <w:right w:val="none" w:sz="0" w:space="0" w:color="auto"/>
          </w:divBdr>
        </w:div>
      </w:divsChild>
    </w:div>
    <w:div w:id="826096150">
      <w:bodyDiv w:val="1"/>
      <w:marLeft w:val="0"/>
      <w:marRight w:val="0"/>
      <w:marTop w:val="0"/>
      <w:marBottom w:val="0"/>
      <w:divBdr>
        <w:top w:val="none" w:sz="0" w:space="0" w:color="auto"/>
        <w:left w:val="none" w:sz="0" w:space="0" w:color="auto"/>
        <w:bottom w:val="none" w:sz="0" w:space="0" w:color="auto"/>
        <w:right w:val="none" w:sz="0" w:space="0" w:color="auto"/>
      </w:divBdr>
      <w:divsChild>
        <w:div w:id="1809778656">
          <w:marLeft w:val="0"/>
          <w:marRight w:val="0"/>
          <w:marTop w:val="0"/>
          <w:marBottom w:val="0"/>
          <w:divBdr>
            <w:top w:val="none" w:sz="0" w:space="0" w:color="auto"/>
            <w:left w:val="none" w:sz="0" w:space="0" w:color="auto"/>
            <w:bottom w:val="none" w:sz="0" w:space="0" w:color="auto"/>
            <w:right w:val="none" w:sz="0" w:space="0" w:color="auto"/>
          </w:divBdr>
          <w:divsChild>
            <w:div w:id="11210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8994">
      <w:bodyDiv w:val="1"/>
      <w:marLeft w:val="0"/>
      <w:marRight w:val="0"/>
      <w:marTop w:val="0"/>
      <w:marBottom w:val="0"/>
      <w:divBdr>
        <w:top w:val="none" w:sz="0" w:space="0" w:color="auto"/>
        <w:left w:val="none" w:sz="0" w:space="0" w:color="auto"/>
        <w:bottom w:val="none" w:sz="0" w:space="0" w:color="auto"/>
        <w:right w:val="none" w:sz="0" w:space="0" w:color="auto"/>
      </w:divBdr>
      <w:divsChild>
        <w:div w:id="1161896176">
          <w:marLeft w:val="0"/>
          <w:marRight w:val="0"/>
          <w:marTop w:val="0"/>
          <w:marBottom w:val="0"/>
          <w:divBdr>
            <w:top w:val="none" w:sz="0" w:space="0" w:color="auto"/>
            <w:left w:val="none" w:sz="0" w:space="0" w:color="auto"/>
            <w:bottom w:val="none" w:sz="0" w:space="0" w:color="auto"/>
            <w:right w:val="none" w:sz="0" w:space="0" w:color="auto"/>
          </w:divBdr>
        </w:div>
      </w:divsChild>
    </w:div>
    <w:div w:id="863443327">
      <w:bodyDiv w:val="1"/>
      <w:marLeft w:val="0"/>
      <w:marRight w:val="0"/>
      <w:marTop w:val="0"/>
      <w:marBottom w:val="0"/>
      <w:divBdr>
        <w:top w:val="none" w:sz="0" w:space="0" w:color="auto"/>
        <w:left w:val="none" w:sz="0" w:space="0" w:color="auto"/>
        <w:bottom w:val="none" w:sz="0" w:space="0" w:color="auto"/>
        <w:right w:val="none" w:sz="0" w:space="0" w:color="auto"/>
      </w:divBdr>
      <w:divsChild>
        <w:div w:id="15933380">
          <w:marLeft w:val="0"/>
          <w:marRight w:val="0"/>
          <w:marTop w:val="0"/>
          <w:marBottom w:val="0"/>
          <w:divBdr>
            <w:top w:val="none" w:sz="0" w:space="0" w:color="auto"/>
            <w:left w:val="none" w:sz="0" w:space="0" w:color="auto"/>
            <w:bottom w:val="none" w:sz="0" w:space="0" w:color="auto"/>
            <w:right w:val="none" w:sz="0" w:space="0" w:color="auto"/>
          </w:divBdr>
          <w:divsChild>
            <w:div w:id="3362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6294">
      <w:bodyDiv w:val="1"/>
      <w:marLeft w:val="0"/>
      <w:marRight w:val="0"/>
      <w:marTop w:val="0"/>
      <w:marBottom w:val="0"/>
      <w:divBdr>
        <w:top w:val="none" w:sz="0" w:space="0" w:color="auto"/>
        <w:left w:val="none" w:sz="0" w:space="0" w:color="auto"/>
        <w:bottom w:val="none" w:sz="0" w:space="0" w:color="auto"/>
        <w:right w:val="none" w:sz="0" w:space="0" w:color="auto"/>
      </w:divBdr>
    </w:div>
    <w:div w:id="870461193">
      <w:bodyDiv w:val="1"/>
      <w:marLeft w:val="0"/>
      <w:marRight w:val="0"/>
      <w:marTop w:val="0"/>
      <w:marBottom w:val="0"/>
      <w:divBdr>
        <w:top w:val="none" w:sz="0" w:space="0" w:color="auto"/>
        <w:left w:val="none" w:sz="0" w:space="0" w:color="auto"/>
        <w:bottom w:val="none" w:sz="0" w:space="0" w:color="auto"/>
        <w:right w:val="none" w:sz="0" w:space="0" w:color="auto"/>
      </w:divBdr>
      <w:divsChild>
        <w:div w:id="786003073">
          <w:marLeft w:val="0"/>
          <w:marRight w:val="0"/>
          <w:marTop w:val="0"/>
          <w:marBottom w:val="0"/>
          <w:divBdr>
            <w:top w:val="none" w:sz="0" w:space="0" w:color="auto"/>
            <w:left w:val="none" w:sz="0" w:space="0" w:color="auto"/>
            <w:bottom w:val="none" w:sz="0" w:space="0" w:color="auto"/>
            <w:right w:val="none" w:sz="0" w:space="0" w:color="auto"/>
          </w:divBdr>
          <w:divsChild>
            <w:div w:id="20875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5962">
      <w:bodyDiv w:val="1"/>
      <w:marLeft w:val="0"/>
      <w:marRight w:val="0"/>
      <w:marTop w:val="0"/>
      <w:marBottom w:val="0"/>
      <w:divBdr>
        <w:top w:val="none" w:sz="0" w:space="0" w:color="auto"/>
        <w:left w:val="none" w:sz="0" w:space="0" w:color="auto"/>
        <w:bottom w:val="none" w:sz="0" w:space="0" w:color="auto"/>
        <w:right w:val="none" w:sz="0" w:space="0" w:color="auto"/>
      </w:divBdr>
    </w:div>
    <w:div w:id="877471953">
      <w:bodyDiv w:val="1"/>
      <w:marLeft w:val="0"/>
      <w:marRight w:val="0"/>
      <w:marTop w:val="0"/>
      <w:marBottom w:val="0"/>
      <w:divBdr>
        <w:top w:val="none" w:sz="0" w:space="0" w:color="auto"/>
        <w:left w:val="none" w:sz="0" w:space="0" w:color="auto"/>
        <w:bottom w:val="none" w:sz="0" w:space="0" w:color="auto"/>
        <w:right w:val="none" w:sz="0" w:space="0" w:color="auto"/>
      </w:divBdr>
      <w:divsChild>
        <w:div w:id="953823433">
          <w:marLeft w:val="0"/>
          <w:marRight w:val="0"/>
          <w:marTop w:val="0"/>
          <w:marBottom w:val="0"/>
          <w:divBdr>
            <w:top w:val="none" w:sz="0" w:space="0" w:color="auto"/>
            <w:left w:val="none" w:sz="0" w:space="0" w:color="auto"/>
            <w:bottom w:val="none" w:sz="0" w:space="0" w:color="auto"/>
            <w:right w:val="none" w:sz="0" w:space="0" w:color="auto"/>
          </w:divBdr>
          <w:divsChild>
            <w:div w:id="14591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69522">
      <w:bodyDiv w:val="1"/>
      <w:marLeft w:val="0"/>
      <w:marRight w:val="0"/>
      <w:marTop w:val="0"/>
      <w:marBottom w:val="0"/>
      <w:divBdr>
        <w:top w:val="none" w:sz="0" w:space="0" w:color="auto"/>
        <w:left w:val="none" w:sz="0" w:space="0" w:color="auto"/>
        <w:bottom w:val="none" w:sz="0" w:space="0" w:color="auto"/>
        <w:right w:val="none" w:sz="0" w:space="0" w:color="auto"/>
      </w:divBdr>
      <w:divsChild>
        <w:div w:id="1490517082">
          <w:marLeft w:val="0"/>
          <w:marRight w:val="0"/>
          <w:marTop w:val="0"/>
          <w:marBottom w:val="0"/>
          <w:divBdr>
            <w:top w:val="none" w:sz="0" w:space="0" w:color="auto"/>
            <w:left w:val="none" w:sz="0" w:space="0" w:color="auto"/>
            <w:bottom w:val="none" w:sz="0" w:space="0" w:color="auto"/>
            <w:right w:val="none" w:sz="0" w:space="0" w:color="auto"/>
          </w:divBdr>
        </w:div>
      </w:divsChild>
    </w:div>
    <w:div w:id="939333306">
      <w:bodyDiv w:val="1"/>
      <w:marLeft w:val="0"/>
      <w:marRight w:val="0"/>
      <w:marTop w:val="0"/>
      <w:marBottom w:val="0"/>
      <w:divBdr>
        <w:top w:val="none" w:sz="0" w:space="0" w:color="auto"/>
        <w:left w:val="none" w:sz="0" w:space="0" w:color="auto"/>
        <w:bottom w:val="none" w:sz="0" w:space="0" w:color="auto"/>
        <w:right w:val="none" w:sz="0" w:space="0" w:color="auto"/>
      </w:divBdr>
      <w:divsChild>
        <w:div w:id="1552184957">
          <w:marLeft w:val="0"/>
          <w:marRight w:val="0"/>
          <w:marTop w:val="0"/>
          <w:marBottom w:val="0"/>
          <w:divBdr>
            <w:top w:val="none" w:sz="0" w:space="0" w:color="auto"/>
            <w:left w:val="none" w:sz="0" w:space="0" w:color="auto"/>
            <w:bottom w:val="none" w:sz="0" w:space="0" w:color="auto"/>
            <w:right w:val="none" w:sz="0" w:space="0" w:color="auto"/>
          </w:divBdr>
          <w:divsChild>
            <w:div w:id="2778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6748">
      <w:bodyDiv w:val="1"/>
      <w:marLeft w:val="0"/>
      <w:marRight w:val="0"/>
      <w:marTop w:val="0"/>
      <w:marBottom w:val="0"/>
      <w:divBdr>
        <w:top w:val="none" w:sz="0" w:space="0" w:color="auto"/>
        <w:left w:val="none" w:sz="0" w:space="0" w:color="auto"/>
        <w:bottom w:val="none" w:sz="0" w:space="0" w:color="auto"/>
        <w:right w:val="none" w:sz="0" w:space="0" w:color="auto"/>
      </w:divBdr>
      <w:divsChild>
        <w:div w:id="1926262326">
          <w:marLeft w:val="0"/>
          <w:marRight w:val="0"/>
          <w:marTop w:val="0"/>
          <w:marBottom w:val="0"/>
          <w:divBdr>
            <w:top w:val="none" w:sz="0" w:space="0" w:color="auto"/>
            <w:left w:val="none" w:sz="0" w:space="0" w:color="auto"/>
            <w:bottom w:val="none" w:sz="0" w:space="0" w:color="auto"/>
            <w:right w:val="none" w:sz="0" w:space="0" w:color="auto"/>
          </w:divBdr>
          <w:divsChild>
            <w:div w:id="16116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7241">
      <w:bodyDiv w:val="1"/>
      <w:marLeft w:val="0"/>
      <w:marRight w:val="0"/>
      <w:marTop w:val="0"/>
      <w:marBottom w:val="0"/>
      <w:divBdr>
        <w:top w:val="none" w:sz="0" w:space="0" w:color="auto"/>
        <w:left w:val="none" w:sz="0" w:space="0" w:color="auto"/>
        <w:bottom w:val="none" w:sz="0" w:space="0" w:color="auto"/>
        <w:right w:val="none" w:sz="0" w:space="0" w:color="auto"/>
      </w:divBdr>
      <w:divsChild>
        <w:div w:id="456025790">
          <w:marLeft w:val="0"/>
          <w:marRight w:val="0"/>
          <w:marTop w:val="0"/>
          <w:marBottom w:val="0"/>
          <w:divBdr>
            <w:top w:val="none" w:sz="0" w:space="0" w:color="auto"/>
            <w:left w:val="none" w:sz="0" w:space="0" w:color="auto"/>
            <w:bottom w:val="none" w:sz="0" w:space="0" w:color="auto"/>
            <w:right w:val="none" w:sz="0" w:space="0" w:color="auto"/>
          </w:divBdr>
          <w:divsChild>
            <w:div w:id="2394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98096">
      <w:bodyDiv w:val="1"/>
      <w:marLeft w:val="0"/>
      <w:marRight w:val="0"/>
      <w:marTop w:val="0"/>
      <w:marBottom w:val="0"/>
      <w:divBdr>
        <w:top w:val="none" w:sz="0" w:space="0" w:color="auto"/>
        <w:left w:val="none" w:sz="0" w:space="0" w:color="auto"/>
        <w:bottom w:val="none" w:sz="0" w:space="0" w:color="auto"/>
        <w:right w:val="none" w:sz="0" w:space="0" w:color="auto"/>
      </w:divBdr>
      <w:divsChild>
        <w:div w:id="337464827">
          <w:marLeft w:val="0"/>
          <w:marRight w:val="0"/>
          <w:marTop w:val="0"/>
          <w:marBottom w:val="0"/>
          <w:divBdr>
            <w:top w:val="none" w:sz="0" w:space="0" w:color="auto"/>
            <w:left w:val="none" w:sz="0" w:space="0" w:color="auto"/>
            <w:bottom w:val="none" w:sz="0" w:space="0" w:color="auto"/>
            <w:right w:val="none" w:sz="0" w:space="0" w:color="auto"/>
          </w:divBdr>
          <w:divsChild>
            <w:div w:id="16452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8308">
      <w:bodyDiv w:val="1"/>
      <w:marLeft w:val="0"/>
      <w:marRight w:val="0"/>
      <w:marTop w:val="0"/>
      <w:marBottom w:val="0"/>
      <w:divBdr>
        <w:top w:val="none" w:sz="0" w:space="0" w:color="auto"/>
        <w:left w:val="none" w:sz="0" w:space="0" w:color="auto"/>
        <w:bottom w:val="none" w:sz="0" w:space="0" w:color="auto"/>
        <w:right w:val="none" w:sz="0" w:space="0" w:color="auto"/>
      </w:divBdr>
      <w:divsChild>
        <w:div w:id="296230752">
          <w:marLeft w:val="0"/>
          <w:marRight w:val="0"/>
          <w:marTop w:val="0"/>
          <w:marBottom w:val="0"/>
          <w:divBdr>
            <w:top w:val="none" w:sz="0" w:space="0" w:color="auto"/>
            <w:left w:val="none" w:sz="0" w:space="0" w:color="auto"/>
            <w:bottom w:val="none" w:sz="0" w:space="0" w:color="auto"/>
            <w:right w:val="none" w:sz="0" w:space="0" w:color="auto"/>
          </w:divBdr>
        </w:div>
      </w:divsChild>
    </w:div>
    <w:div w:id="1083917582">
      <w:bodyDiv w:val="1"/>
      <w:marLeft w:val="0"/>
      <w:marRight w:val="0"/>
      <w:marTop w:val="0"/>
      <w:marBottom w:val="0"/>
      <w:divBdr>
        <w:top w:val="none" w:sz="0" w:space="0" w:color="auto"/>
        <w:left w:val="none" w:sz="0" w:space="0" w:color="auto"/>
        <w:bottom w:val="none" w:sz="0" w:space="0" w:color="auto"/>
        <w:right w:val="none" w:sz="0" w:space="0" w:color="auto"/>
      </w:divBdr>
      <w:divsChild>
        <w:div w:id="856164598">
          <w:marLeft w:val="0"/>
          <w:marRight w:val="0"/>
          <w:marTop w:val="0"/>
          <w:marBottom w:val="0"/>
          <w:divBdr>
            <w:top w:val="none" w:sz="0" w:space="0" w:color="auto"/>
            <w:left w:val="none" w:sz="0" w:space="0" w:color="auto"/>
            <w:bottom w:val="none" w:sz="0" w:space="0" w:color="auto"/>
            <w:right w:val="none" w:sz="0" w:space="0" w:color="auto"/>
          </w:divBdr>
          <w:divsChild>
            <w:div w:id="16571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911">
      <w:bodyDiv w:val="1"/>
      <w:marLeft w:val="0"/>
      <w:marRight w:val="0"/>
      <w:marTop w:val="0"/>
      <w:marBottom w:val="0"/>
      <w:divBdr>
        <w:top w:val="none" w:sz="0" w:space="0" w:color="auto"/>
        <w:left w:val="none" w:sz="0" w:space="0" w:color="auto"/>
        <w:bottom w:val="none" w:sz="0" w:space="0" w:color="auto"/>
        <w:right w:val="none" w:sz="0" w:space="0" w:color="auto"/>
      </w:divBdr>
      <w:divsChild>
        <w:div w:id="795488081">
          <w:marLeft w:val="0"/>
          <w:marRight w:val="0"/>
          <w:marTop w:val="0"/>
          <w:marBottom w:val="0"/>
          <w:divBdr>
            <w:top w:val="none" w:sz="0" w:space="0" w:color="auto"/>
            <w:left w:val="none" w:sz="0" w:space="0" w:color="auto"/>
            <w:bottom w:val="none" w:sz="0" w:space="0" w:color="auto"/>
            <w:right w:val="none" w:sz="0" w:space="0" w:color="auto"/>
          </w:divBdr>
        </w:div>
      </w:divsChild>
    </w:div>
    <w:div w:id="1107969055">
      <w:bodyDiv w:val="1"/>
      <w:marLeft w:val="0"/>
      <w:marRight w:val="0"/>
      <w:marTop w:val="0"/>
      <w:marBottom w:val="0"/>
      <w:divBdr>
        <w:top w:val="none" w:sz="0" w:space="0" w:color="auto"/>
        <w:left w:val="none" w:sz="0" w:space="0" w:color="auto"/>
        <w:bottom w:val="none" w:sz="0" w:space="0" w:color="auto"/>
        <w:right w:val="none" w:sz="0" w:space="0" w:color="auto"/>
      </w:divBdr>
      <w:divsChild>
        <w:div w:id="1999380520">
          <w:marLeft w:val="0"/>
          <w:marRight w:val="0"/>
          <w:marTop w:val="0"/>
          <w:marBottom w:val="0"/>
          <w:divBdr>
            <w:top w:val="none" w:sz="0" w:space="0" w:color="auto"/>
            <w:left w:val="none" w:sz="0" w:space="0" w:color="auto"/>
            <w:bottom w:val="none" w:sz="0" w:space="0" w:color="auto"/>
            <w:right w:val="none" w:sz="0" w:space="0" w:color="auto"/>
          </w:divBdr>
          <w:divsChild>
            <w:div w:id="10535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9178">
      <w:bodyDiv w:val="1"/>
      <w:marLeft w:val="0"/>
      <w:marRight w:val="0"/>
      <w:marTop w:val="0"/>
      <w:marBottom w:val="0"/>
      <w:divBdr>
        <w:top w:val="none" w:sz="0" w:space="0" w:color="auto"/>
        <w:left w:val="none" w:sz="0" w:space="0" w:color="auto"/>
        <w:bottom w:val="none" w:sz="0" w:space="0" w:color="auto"/>
        <w:right w:val="none" w:sz="0" w:space="0" w:color="auto"/>
      </w:divBdr>
      <w:divsChild>
        <w:div w:id="1723598964">
          <w:marLeft w:val="0"/>
          <w:marRight w:val="0"/>
          <w:marTop w:val="0"/>
          <w:marBottom w:val="0"/>
          <w:divBdr>
            <w:top w:val="none" w:sz="0" w:space="0" w:color="auto"/>
            <w:left w:val="none" w:sz="0" w:space="0" w:color="auto"/>
            <w:bottom w:val="none" w:sz="0" w:space="0" w:color="auto"/>
            <w:right w:val="none" w:sz="0" w:space="0" w:color="auto"/>
          </w:divBdr>
        </w:div>
      </w:divsChild>
    </w:div>
    <w:div w:id="1188719139">
      <w:bodyDiv w:val="1"/>
      <w:marLeft w:val="0"/>
      <w:marRight w:val="0"/>
      <w:marTop w:val="0"/>
      <w:marBottom w:val="0"/>
      <w:divBdr>
        <w:top w:val="none" w:sz="0" w:space="0" w:color="auto"/>
        <w:left w:val="none" w:sz="0" w:space="0" w:color="auto"/>
        <w:bottom w:val="none" w:sz="0" w:space="0" w:color="auto"/>
        <w:right w:val="none" w:sz="0" w:space="0" w:color="auto"/>
      </w:divBdr>
      <w:divsChild>
        <w:div w:id="2011786259">
          <w:marLeft w:val="0"/>
          <w:marRight w:val="0"/>
          <w:marTop w:val="0"/>
          <w:marBottom w:val="0"/>
          <w:divBdr>
            <w:top w:val="none" w:sz="0" w:space="0" w:color="auto"/>
            <w:left w:val="none" w:sz="0" w:space="0" w:color="auto"/>
            <w:bottom w:val="none" w:sz="0" w:space="0" w:color="auto"/>
            <w:right w:val="none" w:sz="0" w:space="0" w:color="auto"/>
          </w:divBdr>
          <w:divsChild>
            <w:div w:id="12522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30655">
      <w:bodyDiv w:val="1"/>
      <w:marLeft w:val="0"/>
      <w:marRight w:val="0"/>
      <w:marTop w:val="0"/>
      <w:marBottom w:val="0"/>
      <w:divBdr>
        <w:top w:val="none" w:sz="0" w:space="0" w:color="auto"/>
        <w:left w:val="none" w:sz="0" w:space="0" w:color="auto"/>
        <w:bottom w:val="none" w:sz="0" w:space="0" w:color="auto"/>
        <w:right w:val="none" w:sz="0" w:space="0" w:color="auto"/>
      </w:divBdr>
    </w:div>
    <w:div w:id="1219198940">
      <w:bodyDiv w:val="1"/>
      <w:marLeft w:val="0"/>
      <w:marRight w:val="0"/>
      <w:marTop w:val="0"/>
      <w:marBottom w:val="0"/>
      <w:divBdr>
        <w:top w:val="none" w:sz="0" w:space="0" w:color="auto"/>
        <w:left w:val="none" w:sz="0" w:space="0" w:color="auto"/>
        <w:bottom w:val="none" w:sz="0" w:space="0" w:color="auto"/>
        <w:right w:val="none" w:sz="0" w:space="0" w:color="auto"/>
      </w:divBdr>
      <w:divsChild>
        <w:div w:id="853498094">
          <w:marLeft w:val="0"/>
          <w:marRight w:val="0"/>
          <w:marTop w:val="0"/>
          <w:marBottom w:val="0"/>
          <w:divBdr>
            <w:top w:val="none" w:sz="0" w:space="0" w:color="auto"/>
            <w:left w:val="none" w:sz="0" w:space="0" w:color="auto"/>
            <w:bottom w:val="none" w:sz="0" w:space="0" w:color="auto"/>
            <w:right w:val="none" w:sz="0" w:space="0" w:color="auto"/>
          </w:divBdr>
        </w:div>
      </w:divsChild>
    </w:div>
    <w:div w:id="1231771906">
      <w:bodyDiv w:val="1"/>
      <w:marLeft w:val="0"/>
      <w:marRight w:val="0"/>
      <w:marTop w:val="0"/>
      <w:marBottom w:val="0"/>
      <w:divBdr>
        <w:top w:val="none" w:sz="0" w:space="0" w:color="auto"/>
        <w:left w:val="none" w:sz="0" w:space="0" w:color="auto"/>
        <w:bottom w:val="none" w:sz="0" w:space="0" w:color="auto"/>
        <w:right w:val="none" w:sz="0" w:space="0" w:color="auto"/>
      </w:divBdr>
      <w:divsChild>
        <w:div w:id="550968744">
          <w:marLeft w:val="0"/>
          <w:marRight w:val="0"/>
          <w:marTop w:val="0"/>
          <w:marBottom w:val="0"/>
          <w:divBdr>
            <w:top w:val="none" w:sz="0" w:space="0" w:color="auto"/>
            <w:left w:val="none" w:sz="0" w:space="0" w:color="auto"/>
            <w:bottom w:val="none" w:sz="0" w:space="0" w:color="auto"/>
            <w:right w:val="none" w:sz="0" w:space="0" w:color="auto"/>
          </w:divBdr>
          <w:divsChild>
            <w:div w:id="18432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9456">
      <w:bodyDiv w:val="1"/>
      <w:marLeft w:val="0"/>
      <w:marRight w:val="0"/>
      <w:marTop w:val="0"/>
      <w:marBottom w:val="0"/>
      <w:divBdr>
        <w:top w:val="none" w:sz="0" w:space="0" w:color="auto"/>
        <w:left w:val="none" w:sz="0" w:space="0" w:color="auto"/>
        <w:bottom w:val="none" w:sz="0" w:space="0" w:color="auto"/>
        <w:right w:val="none" w:sz="0" w:space="0" w:color="auto"/>
      </w:divBdr>
      <w:divsChild>
        <w:div w:id="1803769040">
          <w:marLeft w:val="0"/>
          <w:marRight w:val="0"/>
          <w:marTop w:val="0"/>
          <w:marBottom w:val="0"/>
          <w:divBdr>
            <w:top w:val="none" w:sz="0" w:space="0" w:color="auto"/>
            <w:left w:val="none" w:sz="0" w:space="0" w:color="auto"/>
            <w:bottom w:val="none" w:sz="0" w:space="0" w:color="auto"/>
            <w:right w:val="none" w:sz="0" w:space="0" w:color="auto"/>
          </w:divBdr>
        </w:div>
      </w:divsChild>
    </w:div>
    <w:div w:id="1303850628">
      <w:bodyDiv w:val="1"/>
      <w:marLeft w:val="0"/>
      <w:marRight w:val="0"/>
      <w:marTop w:val="0"/>
      <w:marBottom w:val="0"/>
      <w:divBdr>
        <w:top w:val="none" w:sz="0" w:space="0" w:color="auto"/>
        <w:left w:val="none" w:sz="0" w:space="0" w:color="auto"/>
        <w:bottom w:val="none" w:sz="0" w:space="0" w:color="auto"/>
        <w:right w:val="none" w:sz="0" w:space="0" w:color="auto"/>
      </w:divBdr>
      <w:divsChild>
        <w:div w:id="1959023700">
          <w:marLeft w:val="0"/>
          <w:marRight w:val="0"/>
          <w:marTop w:val="0"/>
          <w:marBottom w:val="0"/>
          <w:divBdr>
            <w:top w:val="none" w:sz="0" w:space="0" w:color="auto"/>
            <w:left w:val="none" w:sz="0" w:space="0" w:color="auto"/>
            <w:bottom w:val="none" w:sz="0" w:space="0" w:color="auto"/>
            <w:right w:val="none" w:sz="0" w:space="0" w:color="auto"/>
          </w:divBdr>
          <w:divsChild>
            <w:div w:id="19770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6581">
      <w:bodyDiv w:val="1"/>
      <w:marLeft w:val="0"/>
      <w:marRight w:val="0"/>
      <w:marTop w:val="0"/>
      <w:marBottom w:val="0"/>
      <w:divBdr>
        <w:top w:val="none" w:sz="0" w:space="0" w:color="auto"/>
        <w:left w:val="none" w:sz="0" w:space="0" w:color="auto"/>
        <w:bottom w:val="none" w:sz="0" w:space="0" w:color="auto"/>
        <w:right w:val="none" w:sz="0" w:space="0" w:color="auto"/>
      </w:divBdr>
      <w:divsChild>
        <w:div w:id="2139377231">
          <w:marLeft w:val="0"/>
          <w:marRight w:val="0"/>
          <w:marTop w:val="0"/>
          <w:marBottom w:val="0"/>
          <w:divBdr>
            <w:top w:val="none" w:sz="0" w:space="0" w:color="auto"/>
            <w:left w:val="none" w:sz="0" w:space="0" w:color="auto"/>
            <w:bottom w:val="none" w:sz="0" w:space="0" w:color="auto"/>
            <w:right w:val="none" w:sz="0" w:space="0" w:color="auto"/>
          </w:divBdr>
          <w:divsChild>
            <w:div w:id="12535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23">
      <w:bodyDiv w:val="1"/>
      <w:marLeft w:val="0"/>
      <w:marRight w:val="0"/>
      <w:marTop w:val="0"/>
      <w:marBottom w:val="0"/>
      <w:divBdr>
        <w:top w:val="none" w:sz="0" w:space="0" w:color="auto"/>
        <w:left w:val="none" w:sz="0" w:space="0" w:color="auto"/>
        <w:bottom w:val="none" w:sz="0" w:space="0" w:color="auto"/>
        <w:right w:val="none" w:sz="0" w:space="0" w:color="auto"/>
      </w:divBdr>
      <w:divsChild>
        <w:div w:id="840051627">
          <w:marLeft w:val="0"/>
          <w:marRight w:val="0"/>
          <w:marTop w:val="0"/>
          <w:marBottom w:val="0"/>
          <w:divBdr>
            <w:top w:val="none" w:sz="0" w:space="0" w:color="auto"/>
            <w:left w:val="none" w:sz="0" w:space="0" w:color="auto"/>
            <w:bottom w:val="none" w:sz="0" w:space="0" w:color="auto"/>
            <w:right w:val="none" w:sz="0" w:space="0" w:color="auto"/>
          </w:divBdr>
          <w:divsChild>
            <w:div w:id="17559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6696">
      <w:bodyDiv w:val="1"/>
      <w:marLeft w:val="0"/>
      <w:marRight w:val="0"/>
      <w:marTop w:val="0"/>
      <w:marBottom w:val="0"/>
      <w:divBdr>
        <w:top w:val="none" w:sz="0" w:space="0" w:color="auto"/>
        <w:left w:val="none" w:sz="0" w:space="0" w:color="auto"/>
        <w:bottom w:val="none" w:sz="0" w:space="0" w:color="auto"/>
        <w:right w:val="none" w:sz="0" w:space="0" w:color="auto"/>
      </w:divBdr>
      <w:divsChild>
        <w:div w:id="255359941">
          <w:marLeft w:val="0"/>
          <w:marRight w:val="0"/>
          <w:marTop w:val="0"/>
          <w:marBottom w:val="0"/>
          <w:divBdr>
            <w:top w:val="none" w:sz="0" w:space="0" w:color="auto"/>
            <w:left w:val="none" w:sz="0" w:space="0" w:color="auto"/>
            <w:bottom w:val="none" w:sz="0" w:space="0" w:color="auto"/>
            <w:right w:val="none" w:sz="0" w:space="0" w:color="auto"/>
          </w:divBdr>
          <w:divsChild>
            <w:div w:id="2883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0694">
      <w:bodyDiv w:val="1"/>
      <w:marLeft w:val="0"/>
      <w:marRight w:val="0"/>
      <w:marTop w:val="0"/>
      <w:marBottom w:val="0"/>
      <w:divBdr>
        <w:top w:val="none" w:sz="0" w:space="0" w:color="auto"/>
        <w:left w:val="none" w:sz="0" w:space="0" w:color="auto"/>
        <w:bottom w:val="none" w:sz="0" w:space="0" w:color="auto"/>
        <w:right w:val="none" w:sz="0" w:space="0" w:color="auto"/>
      </w:divBdr>
    </w:div>
    <w:div w:id="1362705962">
      <w:bodyDiv w:val="1"/>
      <w:marLeft w:val="0"/>
      <w:marRight w:val="0"/>
      <w:marTop w:val="0"/>
      <w:marBottom w:val="0"/>
      <w:divBdr>
        <w:top w:val="none" w:sz="0" w:space="0" w:color="auto"/>
        <w:left w:val="none" w:sz="0" w:space="0" w:color="auto"/>
        <w:bottom w:val="none" w:sz="0" w:space="0" w:color="auto"/>
        <w:right w:val="none" w:sz="0" w:space="0" w:color="auto"/>
      </w:divBdr>
    </w:div>
    <w:div w:id="1368602170">
      <w:bodyDiv w:val="1"/>
      <w:marLeft w:val="0"/>
      <w:marRight w:val="0"/>
      <w:marTop w:val="0"/>
      <w:marBottom w:val="0"/>
      <w:divBdr>
        <w:top w:val="none" w:sz="0" w:space="0" w:color="auto"/>
        <w:left w:val="none" w:sz="0" w:space="0" w:color="auto"/>
        <w:bottom w:val="none" w:sz="0" w:space="0" w:color="auto"/>
        <w:right w:val="none" w:sz="0" w:space="0" w:color="auto"/>
      </w:divBdr>
      <w:divsChild>
        <w:div w:id="1635715018">
          <w:marLeft w:val="0"/>
          <w:marRight w:val="0"/>
          <w:marTop w:val="0"/>
          <w:marBottom w:val="0"/>
          <w:divBdr>
            <w:top w:val="none" w:sz="0" w:space="0" w:color="auto"/>
            <w:left w:val="none" w:sz="0" w:space="0" w:color="auto"/>
            <w:bottom w:val="none" w:sz="0" w:space="0" w:color="auto"/>
            <w:right w:val="none" w:sz="0" w:space="0" w:color="auto"/>
          </w:divBdr>
          <w:divsChild>
            <w:div w:id="16214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646">
      <w:bodyDiv w:val="1"/>
      <w:marLeft w:val="0"/>
      <w:marRight w:val="0"/>
      <w:marTop w:val="0"/>
      <w:marBottom w:val="0"/>
      <w:divBdr>
        <w:top w:val="none" w:sz="0" w:space="0" w:color="auto"/>
        <w:left w:val="none" w:sz="0" w:space="0" w:color="auto"/>
        <w:bottom w:val="none" w:sz="0" w:space="0" w:color="auto"/>
        <w:right w:val="none" w:sz="0" w:space="0" w:color="auto"/>
      </w:divBdr>
      <w:divsChild>
        <w:div w:id="1397627971">
          <w:marLeft w:val="0"/>
          <w:marRight w:val="0"/>
          <w:marTop w:val="0"/>
          <w:marBottom w:val="0"/>
          <w:divBdr>
            <w:top w:val="none" w:sz="0" w:space="0" w:color="auto"/>
            <w:left w:val="none" w:sz="0" w:space="0" w:color="auto"/>
            <w:bottom w:val="none" w:sz="0" w:space="0" w:color="auto"/>
            <w:right w:val="none" w:sz="0" w:space="0" w:color="auto"/>
          </w:divBdr>
        </w:div>
      </w:divsChild>
    </w:div>
    <w:div w:id="1408532200">
      <w:bodyDiv w:val="1"/>
      <w:marLeft w:val="0"/>
      <w:marRight w:val="0"/>
      <w:marTop w:val="0"/>
      <w:marBottom w:val="0"/>
      <w:divBdr>
        <w:top w:val="none" w:sz="0" w:space="0" w:color="auto"/>
        <w:left w:val="none" w:sz="0" w:space="0" w:color="auto"/>
        <w:bottom w:val="none" w:sz="0" w:space="0" w:color="auto"/>
        <w:right w:val="none" w:sz="0" w:space="0" w:color="auto"/>
      </w:divBdr>
      <w:divsChild>
        <w:div w:id="1628706169">
          <w:marLeft w:val="0"/>
          <w:marRight w:val="0"/>
          <w:marTop w:val="0"/>
          <w:marBottom w:val="0"/>
          <w:divBdr>
            <w:top w:val="none" w:sz="0" w:space="0" w:color="auto"/>
            <w:left w:val="none" w:sz="0" w:space="0" w:color="auto"/>
            <w:bottom w:val="none" w:sz="0" w:space="0" w:color="auto"/>
            <w:right w:val="none" w:sz="0" w:space="0" w:color="auto"/>
          </w:divBdr>
        </w:div>
      </w:divsChild>
    </w:div>
    <w:div w:id="1439251858">
      <w:bodyDiv w:val="1"/>
      <w:marLeft w:val="0"/>
      <w:marRight w:val="0"/>
      <w:marTop w:val="0"/>
      <w:marBottom w:val="0"/>
      <w:divBdr>
        <w:top w:val="none" w:sz="0" w:space="0" w:color="auto"/>
        <w:left w:val="none" w:sz="0" w:space="0" w:color="auto"/>
        <w:bottom w:val="none" w:sz="0" w:space="0" w:color="auto"/>
        <w:right w:val="none" w:sz="0" w:space="0" w:color="auto"/>
      </w:divBdr>
      <w:divsChild>
        <w:div w:id="1681274949">
          <w:marLeft w:val="0"/>
          <w:marRight w:val="0"/>
          <w:marTop w:val="0"/>
          <w:marBottom w:val="0"/>
          <w:divBdr>
            <w:top w:val="none" w:sz="0" w:space="0" w:color="auto"/>
            <w:left w:val="none" w:sz="0" w:space="0" w:color="auto"/>
            <w:bottom w:val="none" w:sz="0" w:space="0" w:color="auto"/>
            <w:right w:val="none" w:sz="0" w:space="0" w:color="auto"/>
          </w:divBdr>
          <w:divsChild>
            <w:div w:id="5772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6147">
      <w:bodyDiv w:val="1"/>
      <w:marLeft w:val="0"/>
      <w:marRight w:val="0"/>
      <w:marTop w:val="0"/>
      <w:marBottom w:val="0"/>
      <w:divBdr>
        <w:top w:val="none" w:sz="0" w:space="0" w:color="auto"/>
        <w:left w:val="none" w:sz="0" w:space="0" w:color="auto"/>
        <w:bottom w:val="none" w:sz="0" w:space="0" w:color="auto"/>
        <w:right w:val="none" w:sz="0" w:space="0" w:color="auto"/>
      </w:divBdr>
      <w:divsChild>
        <w:div w:id="2049642149">
          <w:marLeft w:val="0"/>
          <w:marRight w:val="0"/>
          <w:marTop w:val="0"/>
          <w:marBottom w:val="0"/>
          <w:divBdr>
            <w:top w:val="none" w:sz="0" w:space="0" w:color="auto"/>
            <w:left w:val="none" w:sz="0" w:space="0" w:color="auto"/>
            <w:bottom w:val="none" w:sz="0" w:space="0" w:color="auto"/>
            <w:right w:val="none" w:sz="0" w:space="0" w:color="auto"/>
          </w:divBdr>
          <w:divsChild>
            <w:div w:id="15833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7916">
      <w:bodyDiv w:val="1"/>
      <w:marLeft w:val="0"/>
      <w:marRight w:val="0"/>
      <w:marTop w:val="0"/>
      <w:marBottom w:val="0"/>
      <w:divBdr>
        <w:top w:val="none" w:sz="0" w:space="0" w:color="auto"/>
        <w:left w:val="none" w:sz="0" w:space="0" w:color="auto"/>
        <w:bottom w:val="none" w:sz="0" w:space="0" w:color="auto"/>
        <w:right w:val="none" w:sz="0" w:space="0" w:color="auto"/>
      </w:divBdr>
      <w:divsChild>
        <w:div w:id="709650725">
          <w:marLeft w:val="0"/>
          <w:marRight w:val="0"/>
          <w:marTop w:val="0"/>
          <w:marBottom w:val="0"/>
          <w:divBdr>
            <w:top w:val="none" w:sz="0" w:space="0" w:color="auto"/>
            <w:left w:val="none" w:sz="0" w:space="0" w:color="auto"/>
            <w:bottom w:val="none" w:sz="0" w:space="0" w:color="auto"/>
            <w:right w:val="none" w:sz="0" w:space="0" w:color="auto"/>
          </w:divBdr>
          <w:divsChild>
            <w:div w:id="296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6522">
      <w:bodyDiv w:val="1"/>
      <w:marLeft w:val="0"/>
      <w:marRight w:val="0"/>
      <w:marTop w:val="0"/>
      <w:marBottom w:val="0"/>
      <w:divBdr>
        <w:top w:val="none" w:sz="0" w:space="0" w:color="auto"/>
        <w:left w:val="none" w:sz="0" w:space="0" w:color="auto"/>
        <w:bottom w:val="none" w:sz="0" w:space="0" w:color="auto"/>
        <w:right w:val="none" w:sz="0" w:space="0" w:color="auto"/>
      </w:divBdr>
      <w:divsChild>
        <w:div w:id="896748541">
          <w:marLeft w:val="0"/>
          <w:marRight w:val="0"/>
          <w:marTop w:val="0"/>
          <w:marBottom w:val="0"/>
          <w:divBdr>
            <w:top w:val="none" w:sz="0" w:space="0" w:color="auto"/>
            <w:left w:val="none" w:sz="0" w:space="0" w:color="auto"/>
            <w:bottom w:val="none" w:sz="0" w:space="0" w:color="auto"/>
            <w:right w:val="none" w:sz="0" w:space="0" w:color="auto"/>
          </w:divBdr>
        </w:div>
      </w:divsChild>
    </w:div>
    <w:div w:id="1492020894">
      <w:bodyDiv w:val="1"/>
      <w:marLeft w:val="0"/>
      <w:marRight w:val="0"/>
      <w:marTop w:val="0"/>
      <w:marBottom w:val="0"/>
      <w:divBdr>
        <w:top w:val="none" w:sz="0" w:space="0" w:color="auto"/>
        <w:left w:val="none" w:sz="0" w:space="0" w:color="auto"/>
        <w:bottom w:val="none" w:sz="0" w:space="0" w:color="auto"/>
        <w:right w:val="none" w:sz="0" w:space="0" w:color="auto"/>
      </w:divBdr>
      <w:divsChild>
        <w:div w:id="1006595889">
          <w:marLeft w:val="0"/>
          <w:marRight w:val="0"/>
          <w:marTop w:val="0"/>
          <w:marBottom w:val="0"/>
          <w:divBdr>
            <w:top w:val="none" w:sz="0" w:space="0" w:color="auto"/>
            <w:left w:val="none" w:sz="0" w:space="0" w:color="auto"/>
            <w:bottom w:val="none" w:sz="0" w:space="0" w:color="auto"/>
            <w:right w:val="none" w:sz="0" w:space="0" w:color="auto"/>
          </w:divBdr>
          <w:divsChild>
            <w:div w:id="15323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5711">
      <w:bodyDiv w:val="1"/>
      <w:marLeft w:val="0"/>
      <w:marRight w:val="0"/>
      <w:marTop w:val="0"/>
      <w:marBottom w:val="0"/>
      <w:divBdr>
        <w:top w:val="none" w:sz="0" w:space="0" w:color="auto"/>
        <w:left w:val="none" w:sz="0" w:space="0" w:color="auto"/>
        <w:bottom w:val="none" w:sz="0" w:space="0" w:color="auto"/>
        <w:right w:val="none" w:sz="0" w:space="0" w:color="auto"/>
      </w:divBdr>
      <w:divsChild>
        <w:div w:id="1781952886">
          <w:marLeft w:val="0"/>
          <w:marRight w:val="0"/>
          <w:marTop w:val="0"/>
          <w:marBottom w:val="0"/>
          <w:divBdr>
            <w:top w:val="none" w:sz="0" w:space="0" w:color="auto"/>
            <w:left w:val="none" w:sz="0" w:space="0" w:color="auto"/>
            <w:bottom w:val="none" w:sz="0" w:space="0" w:color="auto"/>
            <w:right w:val="none" w:sz="0" w:space="0" w:color="auto"/>
          </w:divBdr>
        </w:div>
      </w:divsChild>
    </w:div>
    <w:div w:id="1502044603">
      <w:bodyDiv w:val="1"/>
      <w:marLeft w:val="0"/>
      <w:marRight w:val="0"/>
      <w:marTop w:val="0"/>
      <w:marBottom w:val="0"/>
      <w:divBdr>
        <w:top w:val="none" w:sz="0" w:space="0" w:color="auto"/>
        <w:left w:val="none" w:sz="0" w:space="0" w:color="auto"/>
        <w:bottom w:val="none" w:sz="0" w:space="0" w:color="auto"/>
        <w:right w:val="none" w:sz="0" w:space="0" w:color="auto"/>
      </w:divBdr>
    </w:div>
    <w:div w:id="1513841183">
      <w:bodyDiv w:val="1"/>
      <w:marLeft w:val="0"/>
      <w:marRight w:val="0"/>
      <w:marTop w:val="0"/>
      <w:marBottom w:val="0"/>
      <w:divBdr>
        <w:top w:val="none" w:sz="0" w:space="0" w:color="auto"/>
        <w:left w:val="none" w:sz="0" w:space="0" w:color="auto"/>
        <w:bottom w:val="none" w:sz="0" w:space="0" w:color="auto"/>
        <w:right w:val="none" w:sz="0" w:space="0" w:color="auto"/>
      </w:divBdr>
      <w:divsChild>
        <w:div w:id="1645356287">
          <w:marLeft w:val="0"/>
          <w:marRight w:val="0"/>
          <w:marTop w:val="0"/>
          <w:marBottom w:val="0"/>
          <w:divBdr>
            <w:top w:val="none" w:sz="0" w:space="0" w:color="auto"/>
            <w:left w:val="none" w:sz="0" w:space="0" w:color="auto"/>
            <w:bottom w:val="none" w:sz="0" w:space="0" w:color="auto"/>
            <w:right w:val="none" w:sz="0" w:space="0" w:color="auto"/>
          </w:divBdr>
        </w:div>
      </w:divsChild>
    </w:div>
    <w:div w:id="1611008751">
      <w:bodyDiv w:val="1"/>
      <w:marLeft w:val="0"/>
      <w:marRight w:val="0"/>
      <w:marTop w:val="0"/>
      <w:marBottom w:val="0"/>
      <w:divBdr>
        <w:top w:val="none" w:sz="0" w:space="0" w:color="auto"/>
        <w:left w:val="none" w:sz="0" w:space="0" w:color="auto"/>
        <w:bottom w:val="none" w:sz="0" w:space="0" w:color="auto"/>
        <w:right w:val="none" w:sz="0" w:space="0" w:color="auto"/>
      </w:divBdr>
      <w:divsChild>
        <w:div w:id="1298609021">
          <w:marLeft w:val="0"/>
          <w:marRight w:val="0"/>
          <w:marTop w:val="0"/>
          <w:marBottom w:val="0"/>
          <w:divBdr>
            <w:top w:val="none" w:sz="0" w:space="0" w:color="auto"/>
            <w:left w:val="none" w:sz="0" w:space="0" w:color="auto"/>
            <w:bottom w:val="none" w:sz="0" w:space="0" w:color="auto"/>
            <w:right w:val="none" w:sz="0" w:space="0" w:color="auto"/>
          </w:divBdr>
          <w:divsChild>
            <w:div w:id="16295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2483">
      <w:bodyDiv w:val="1"/>
      <w:marLeft w:val="0"/>
      <w:marRight w:val="0"/>
      <w:marTop w:val="0"/>
      <w:marBottom w:val="0"/>
      <w:divBdr>
        <w:top w:val="none" w:sz="0" w:space="0" w:color="auto"/>
        <w:left w:val="none" w:sz="0" w:space="0" w:color="auto"/>
        <w:bottom w:val="none" w:sz="0" w:space="0" w:color="auto"/>
        <w:right w:val="none" w:sz="0" w:space="0" w:color="auto"/>
      </w:divBdr>
      <w:divsChild>
        <w:div w:id="672337810">
          <w:marLeft w:val="0"/>
          <w:marRight w:val="0"/>
          <w:marTop w:val="0"/>
          <w:marBottom w:val="0"/>
          <w:divBdr>
            <w:top w:val="none" w:sz="0" w:space="0" w:color="auto"/>
            <w:left w:val="none" w:sz="0" w:space="0" w:color="auto"/>
            <w:bottom w:val="none" w:sz="0" w:space="0" w:color="auto"/>
            <w:right w:val="none" w:sz="0" w:space="0" w:color="auto"/>
          </w:divBdr>
          <w:divsChild>
            <w:div w:id="1400900647">
              <w:marLeft w:val="0"/>
              <w:marRight w:val="0"/>
              <w:marTop w:val="0"/>
              <w:marBottom w:val="0"/>
              <w:divBdr>
                <w:top w:val="none" w:sz="0" w:space="0" w:color="auto"/>
                <w:left w:val="none" w:sz="0" w:space="0" w:color="auto"/>
                <w:bottom w:val="none" w:sz="0" w:space="0" w:color="auto"/>
                <w:right w:val="none" w:sz="0" w:space="0" w:color="auto"/>
              </w:divBdr>
              <w:divsChild>
                <w:div w:id="993947489">
                  <w:marLeft w:val="0"/>
                  <w:marRight w:val="0"/>
                  <w:marTop w:val="0"/>
                  <w:marBottom w:val="0"/>
                  <w:divBdr>
                    <w:top w:val="none" w:sz="0" w:space="0" w:color="auto"/>
                    <w:left w:val="none" w:sz="0" w:space="0" w:color="auto"/>
                    <w:bottom w:val="none" w:sz="0" w:space="0" w:color="auto"/>
                    <w:right w:val="none" w:sz="0" w:space="0" w:color="auto"/>
                  </w:divBdr>
                </w:div>
                <w:div w:id="2031636274">
                  <w:marLeft w:val="0"/>
                  <w:marRight w:val="0"/>
                  <w:marTop w:val="0"/>
                  <w:marBottom w:val="0"/>
                  <w:divBdr>
                    <w:top w:val="none" w:sz="0" w:space="0" w:color="auto"/>
                    <w:left w:val="none" w:sz="0" w:space="0" w:color="auto"/>
                    <w:bottom w:val="none" w:sz="0" w:space="0" w:color="auto"/>
                    <w:right w:val="none" w:sz="0" w:space="0" w:color="auto"/>
                  </w:divBdr>
                </w:div>
              </w:divsChild>
            </w:div>
            <w:div w:id="13598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9510">
      <w:bodyDiv w:val="1"/>
      <w:marLeft w:val="0"/>
      <w:marRight w:val="0"/>
      <w:marTop w:val="0"/>
      <w:marBottom w:val="0"/>
      <w:divBdr>
        <w:top w:val="none" w:sz="0" w:space="0" w:color="auto"/>
        <w:left w:val="none" w:sz="0" w:space="0" w:color="auto"/>
        <w:bottom w:val="none" w:sz="0" w:space="0" w:color="auto"/>
        <w:right w:val="none" w:sz="0" w:space="0" w:color="auto"/>
      </w:divBdr>
      <w:divsChild>
        <w:div w:id="1674643512">
          <w:marLeft w:val="0"/>
          <w:marRight w:val="0"/>
          <w:marTop w:val="0"/>
          <w:marBottom w:val="0"/>
          <w:divBdr>
            <w:top w:val="none" w:sz="0" w:space="0" w:color="auto"/>
            <w:left w:val="none" w:sz="0" w:space="0" w:color="auto"/>
            <w:bottom w:val="none" w:sz="0" w:space="0" w:color="auto"/>
            <w:right w:val="none" w:sz="0" w:space="0" w:color="auto"/>
          </w:divBdr>
          <w:divsChild>
            <w:div w:id="1822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01">
      <w:bodyDiv w:val="1"/>
      <w:marLeft w:val="0"/>
      <w:marRight w:val="0"/>
      <w:marTop w:val="0"/>
      <w:marBottom w:val="0"/>
      <w:divBdr>
        <w:top w:val="none" w:sz="0" w:space="0" w:color="auto"/>
        <w:left w:val="none" w:sz="0" w:space="0" w:color="auto"/>
        <w:bottom w:val="none" w:sz="0" w:space="0" w:color="auto"/>
        <w:right w:val="none" w:sz="0" w:space="0" w:color="auto"/>
      </w:divBdr>
      <w:divsChild>
        <w:div w:id="1877886069">
          <w:marLeft w:val="0"/>
          <w:marRight w:val="0"/>
          <w:marTop w:val="0"/>
          <w:marBottom w:val="0"/>
          <w:divBdr>
            <w:top w:val="none" w:sz="0" w:space="0" w:color="auto"/>
            <w:left w:val="none" w:sz="0" w:space="0" w:color="auto"/>
            <w:bottom w:val="none" w:sz="0" w:space="0" w:color="auto"/>
            <w:right w:val="none" w:sz="0" w:space="0" w:color="auto"/>
          </w:divBdr>
        </w:div>
      </w:divsChild>
    </w:div>
    <w:div w:id="1740976559">
      <w:bodyDiv w:val="1"/>
      <w:marLeft w:val="0"/>
      <w:marRight w:val="0"/>
      <w:marTop w:val="0"/>
      <w:marBottom w:val="0"/>
      <w:divBdr>
        <w:top w:val="none" w:sz="0" w:space="0" w:color="auto"/>
        <w:left w:val="none" w:sz="0" w:space="0" w:color="auto"/>
        <w:bottom w:val="none" w:sz="0" w:space="0" w:color="auto"/>
        <w:right w:val="none" w:sz="0" w:space="0" w:color="auto"/>
      </w:divBdr>
      <w:divsChild>
        <w:div w:id="345399642">
          <w:marLeft w:val="0"/>
          <w:marRight w:val="0"/>
          <w:marTop w:val="0"/>
          <w:marBottom w:val="0"/>
          <w:divBdr>
            <w:top w:val="none" w:sz="0" w:space="0" w:color="auto"/>
            <w:left w:val="none" w:sz="0" w:space="0" w:color="auto"/>
            <w:bottom w:val="none" w:sz="0" w:space="0" w:color="auto"/>
            <w:right w:val="none" w:sz="0" w:space="0" w:color="auto"/>
          </w:divBdr>
          <w:divsChild>
            <w:div w:id="15106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4581">
      <w:bodyDiv w:val="1"/>
      <w:marLeft w:val="0"/>
      <w:marRight w:val="0"/>
      <w:marTop w:val="0"/>
      <w:marBottom w:val="0"/>
      <w:divBdr>
        <w:top w:val="none" w:sz="0" w:space="0" w:color="auto"/>
        <w:left w:val="none" w:sz="0" w:space="0" w:color="auto"/>
        <w:bottom w:val="none" w:sz="0" w:space="0" w:color="auto"/>
        <w:right w:val="none" w:sz="0" w:space="0" w:color="auto"/>
      </w:divBdr>
      <w:divsChild>
        <w:div w:id="487988746">
          <w:marLeft w:val="0"/>
          <w:marRight w:val="0"/>
          <w:marTop w:val="0"/>
          <w:marBottom w:val="0"/>
          <w:divBdr>
            <w:top w:val="none" w:sz="0" w:space="0" w:color="auto"/>
            <w:left w:val="none" w:sz="0" w:space="0" w:color="auto"/>
            <w:bottom w:val="none" w:sz="0" w:space="0" w:color="auto"/>
            <w:right w:val="none" w:sz="0" w:space="0" w:color="auto"/>
          </w:divBdr>
          <w:divsChild>
            <w:div w:id="235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3070">
      <w:bodyDiv w:val="1"/>
      <w:marLeft w:val="0"/>
      <w:marRight w:val="0"/>
      <w:marTop w:val="0"/>
      <w:marBottom w:val="0"/>
      <w:divBdr>
        <w:top w:val="none" w:sz="0" w:space="0" w:color="auto"/>
        <w:left w:val="none" w:sz="0" w:space="0" w:color="auto"/>
        <w:bottom w:val="none" w:sz="0" w:space="0" w:color="auto"/>
        <w:right w:val="none" w:sz="0" w:space="0" w:color="auto"/>
      </w:divBdr>
      <w:divsChild>
        <w:div w:id="1668367407">
          <w:marLeft w:val="0"/>
          <w:marRight w:val="0"/>
          <w:marTop w:val="0"/>
          <w:marBottom w:val="0"/>
          <w:divBdr>
            <w:top w:val="none" w:sz="0" w:space="0" w:color="auto"/>
            <w:left w:val="none" w:sz="0" w:space="0" w:color="auto"/>
            <w:bottom w:val="none" w:sz="0" w:space="0" w:color="auto"/>
            <w:right w:val="none" w:sz="0" w:space="0" w:color="auto"/>
          </w:divBdr>
          <w:divsChild>
            <w:div w:id="9163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2091">
      <w:bodyDiv w:val="1"/>
      <w:marLeft w:val="0"/>
      <w:marRight w:val="0"/>
      <w:marTop w:val="0"/>
      <w:marBottom w:val="0"/>
      <w:divBdr>
        <w:top w:val="none" w:sz="0" w:space="0" w:color="auto"/>
        <w:left w:val="none" w:sz="0" w:space="0" w:color="auto"/>
        <w:bottom w:val="none" w:sz="0" w:space="0" w:color="auto"/>
        <w:right w:val="none" w:sz="0" w:space="0" w:color="auto"/>
      </w:divBdr>
      <w:divsChild>
        <w:div w:id="1234245336">
          <w:marLeft w:val="0"/>
          <w:marRight w:val="0"/>
          <w:marTop w:val="0"/>
          <w:marBottom w:val="0"/>
          <w:divBdr>
            <w:top w:val="none" w:sz="0" w:space="0" w:color="auto"/>
            <w:left w:val="none" w:sz="0" w:space="0" w:color="auto"/>
            <w:bottom w:val="none" w:sz="0" w:space="0" w:color="auto"/>
            <w:right w:val="none" w:sz="0" w:space="0" w:color="auto"/>
          </w:divBdr>
          <w:divsChild>
            <w:div w:id="13916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0197">
      <w:bodyDiv w:val="1"/>
      <w:marLeft w:val="0"/>
      <w:marRight w:val="0"/>
      <w:marTop w:val="0"/>
      <w:marBottom w:val="0"/>
      <w:divBdr>
        <w:top w:val="none" w:sz="0" w:space="0" w:color="auto"/>
        <w:left w:val="none" w:sz="0" w:space="0" w:color="auto"/>
        <w:bottom w:val="none" w:sz="0" w:space="0" w:color="auto"/>
        <w:right w:val="none" w:sz="0" w:space="0" w:color="auto"/>
      </w:divBdr>
      <w:divsChild>
        <w:div w:id="1316834255">
          <w:marLeft w:val="0"/>
          <w:marRight w:val="0"/>
          <w:marTop w:val="0"/>
          <w:marBottom w:val="0"/>
          <w:divBdr>
            <w:top w:val="none" w:sz="0" w:space="0" w:color="auto"/>
            <w:left w:val="none" w:sz="0" w:space="0" w:color="auto"/>
            <w:bottom w:val="none" w:sz="0" w:space="0" w:color="auto"/>
            <w:right w:val="none" w:sz="0" w:space="0" w:color="auto"/>
          </w:divBdr>
          <w:divsChild>
            <w:div w:id="18004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2751">
      <w:bodyDiv w:val="1"/>
      <w:marLeft w:val="0"/>
      <w:marRight w:val="0"/>
      <w:marTop w:val="0"/>
      <w:marBottom w:val="0"/>
      <w:divBdr>
        <w:top w:val="none" w:sz="0" w:space="0" w:color="auto"/>
        <w:left w:val="none" w:sz="0" w:space="0" w:color="auto"/>
        <w:bottom w:val="none" w:sz="0" w:space="0" w:color="auto"/>
        <w:right w:val="none" w:sz="0" w:space="0" w:color="auto"/>
      </w:divBdr>
    </w:div>
    <w:div w:id="1853645840">
      <w:bodyDiv w:val="1"/>
      <w:marLeft w:val="0"/>
      <w:marRight w:val="0"/>
      <w:marTop w:val="0"/>
      <w:marBottom w:val="0"/>
      <w:divBdr>
        <w:top w:val="none" w:sz="0" w:space="0" w:color="auto"/>
        <w:left w:val="none" w:sz="0" w:space="0" w:color="auto"/>
        <w:bottom w:val="none" w:sz="0" w:space="0" w:color="auto"/>
        <w:right w:val="none" w:sz="0" w:space="0" w:color="auto"/>
      </w:divBdr>
      <w:divsChild>
        <w:div w:id="2108887141">
          <w:marLeft w:val="0"/>
          <w:marRight w:val="0"/>
          <w:marTop w:val="0"/>
          <w:marBottom w:val="0"/>
          <w:divBdr>
            <w:top w:val="none" w:sz="0" w:space="0" w:color="auto"/>
            <w:left w:val="none" w:sz="0" w:space="0" w:color="auto"/>
            <w:bottom w:val="none" w:sz="0" w:space="0" w:color="auto"/>
            <w:right w:val="none" w:sz="0" w:space="0" w:color="auto"/>
          </w:divBdr>
          <w:divsChild>
            <w:div w:id="20284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6158">
      <w:bodyDiv w:val="1"/>
      <w:marLeft w:val="0"/>
      <w:marRight w:val="0"/>
      <w:marTop w:val="0"/>
      <w:marBottom w:val="0"/>
      <w:divBdr>
        <w:top w:val="none" w:sz="0" w:space="0" w:color="auto"/>
        <w:left w:val="none" w:sz="0" w:space="0" w:color="auto"/>
        <w:bottom w:val="none" w:sz="0" w:space="0" w:color="auto"/>
        <w:right w:val="none" w:sz="0" w:space="0" w:color="auto"/>
      </w:divBdr>
      <w:divsChild>
        <w:div w:id="52892663">
          <w:marLeft w:val="0"/>
          <w:marRight w:val="0"/>
          <w:marTop w:val="0"/>
          <w:marBottom w:val="0"/>
          <w:divBdr>
            <w:top w:val="none" w:sz="0" w:space="0" w:color="auto"/>
            <w:left w:val="none" w:sz="0" w:space="0" w:color="auto"/>
            <w:bottom w:val="none" w:sz="0" w:space="0" w:color="auto"/>
            <w:right w:val="none" w:sz="0" w:space="0" w:color="auto"/>
          </w:divBdr>
        </w:div>
      </w:divsChild>
    </w:div>
    <w:div w:id="1877692065">
      <w:bodyDiv w:val="1"/>
      <w:marLeft w:val="0"/>
      <w:marRight w:val="0"/>
      <w:marTop w:val="0"/>
      <w:marBottom w:val="0"/>
      <w:divBdr>
        <w:top w:val="none" w:sz="0" w:space="0" w:color="auto"/>
        <w:left w:val="none" w:sz="0" w:space="0" w:color="auto"/>
        <w:bottom w:val="none" w:sz="0" w:space="0" w:color="auto"/>
        <w:right w:val="none" w:sz="0" w:space="0" w:color="auto"/>
      </w:divBdr>
      <w:divsChild>
        <w:div w:id="470290679">
          <w:marLeft w:val="0"/>
          <w:marRight w:val="0"/>
          <w:marTop w:val="0"/>
          <w:marBottom w:val="0"/>
          <w:divBdr>
            <w:top w:val="none" w:sz="0" w:space="0" w:color="auto"/>
            <w:left w:val="none" w:sz="0" w:space="0" w:color="auto"/>
            <w:bottom w:val="none" w:sz="0" w:space="0" w:color="auto"/>
            <w:right w:val="none" w:sz="0" w:space="0" w:color="auto"/>
          </w:divBdr>
          <w:divsChild>
            <w:div w:id="18900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5047">
      <w:bodyDiv w:val="1"/>
      <w:marLeft w:val="0"/>
      <w:marRight w:val="0"/>
      <w:marTop w:val="0"/>
      <w:marBottom w:val="0"/>
      <w:divBdr>
        <w:top w:val="none" w:sz="0" w:space="0" w:color="auto"/>
        <w:left w:val="none" w:sz="0" w:space="0" w:color="auto"/>
        <w:bottom w:val="none" w:sz="0" w:space="0" w:color="auto"/>
        <w:right w:val="none" w:sz="0" w:space="0" w:color="auto"/>
      </w:divBdr>
      <w:divsChild>
        <w:div w:id="1587375348">
          <w:marLeft w:val="0"/>
          <w:marRight w:val="0"/>
          <w:marTop w:val="0"/>
          <w:marBottom w:val="0"/>
          <w:divBdr>
            <w:top w:val="none" w:sz="0" w:space="0" w:color="auto"/>
            <w:left w:val="none" w:sz="0" w:space="0" w:color="auto"/>
            <w:bottom w:val="none" w:sz="0" w:space="0" w:color="auto"/>
            <w:right w:val="none" w:sz="0" w:space="0" w:color="auto"/>
          </w:divBdr>
          <w:divsChild>
            <w:div w:id="12924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56364">
      <w:bodyDiv w:val="1"/>
      <w:marLeft w:val="0"/>
      <w:marRight w:val="0"/>
      <w:marTop w:val="0"/>
      <w:marBottom w:val="0"/>
      <w:divBdr>
        <w:top w:val="none" w:sz="0" w:space="0" w:color="auto"/>
        <w:left w:val="none" w:sz="0" w:space="0" w:color="auto"/>
        <w:bottom w:val="none" w:sz="0" w:space="0" w:color="auto"/>
        <w:right w:val="none" w:sz="0" w:space="0" w:color="auto"/>
      </w:divBdr>
      <w:divsChild>
        <w:div w:id="2001620880">
          <w:marLeft w:val="0"/>
          <w:marRight w:val="0"/>
          <w:marTop w:val="0"/>
          <w:marBottom w:val="0"/>
          <w:divBdr>
            <w:top w:val="none" w:sz="0" w:space="0" w:color="auto"/>
            <w:left w:val="none" w:sz="0" w:space="0" w:color="auto"/>
            <w:bottom w:val="none" w:sz="0" w:space="0" w:color="auto"/>
            <w:right w:val="none" w:sz="0" w:space="0" w:color="auto"/>
          </w:divBdr>
          <w:divsChild>
            <w:div w:id="21467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78521">
      <w:bodyDiv w:val="1"/>
      <w:marLeft w:val="0"/>
      <w:marRight w:val="0"/>
      <w:marTop w:val="0"/>
      <w:marBottom w:val="0"/>
      <w:divBdr>
        <w:top w:val="none" w:sz="0" w:space="0" w:color="auto"/>
        <w:left w:val="none" w:sz="0" w:space="0" w:color="auto"/>
        <w:bottom w:val="none" w:sz="0" w:space="0" w:color="auto"/>
        <w:right w:val="none" w:sz="0" w:space="0" w:color="auto"/>
      </w:divBdr>
      <w:divsChild>
        <w:div w:id="1742823901">
          <w:marLeft w:val="0"/>
          <w:marRight w:val="0"/>
          <w:marTop w:val="0"/>
          <w:marBottom w:val="0"/>
          <w:divBdr>
            <w:top w:val="none" w:sz="0" w:space="0" w:color="auto"/>
            <w:left w:val="none" w:sz="0" w:space="0" w:color="auto"/>
            <w:bottom w:val="none" w:sz="0" w:space="0" w:color="auto"/>
            <w:right w:val="none" w:sz="0" w:space="0" w:color="auto"/>
          </w:divBdr>
          <w:divsChild>
            <w:div w:id="1475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3174">
      <w:bodyDiv w:val="1"/>
      <w:marLeft w:val="0"/>
      <w:marRight w:val="0"/>
      <w:marTop w:val="0"/>
      <w:marBottom w:val="0"/>
      <w:divBdr>
        <w:top w:val="none" w:sz="0" w:space="0" w:color="auto"/>
        <w:left w:val="none" w:sz="0" w:space="0" w:color="auto"/>
        <w:bottom w:val="none" w:sz="0" w:space="0" w:color="auto"/>
        <w:right w:val="none" w:sz="0" w:space="0" w:color="auto"/>
      </w:divBdr>
    </w:div>
    <w:div w:id="1990788540">
      <w:bodyDiv w:val="1"/>
      <w:marLeft w:val="0"/>
      <w:marRight w:val="0"/>
      <w:marTop w:val="0"/>
      <w:marBottom w:val="0"/>
      <w:divBdr>
        <w:top w:val="none" w:sz="0" w:space="0" w:color="auto"/>
        <w:left w:val="none" w:sz="0" w:space="0" w:color="auto"/>
        <w:bottom w:val="none" w:sz="0" w:space="0" w:color="auto"/>
        <w:right w:val="none" w:sz="0" w:space="0" w:color="auto"/>
      </w:divBdr>
      <w:divsChild>
        <w:div w:id="1850757776">
          <w:marLeft w:val="0"/>
          <w:marRight w:val="0"/>
          <w:marTop w:val="0"/>
          <w:marBottom w:val="0"/>
          <w:divBdr>
            <w:top w:val="none" w:sz="0" w:space="0" w:color="auto"/>
            <w:left w:val="none" w:sz="0" w:space="0" w:color="auto"/>
            <w:bottom w:val="none" w:sz="0" w:space="0" w:color="auto"/>
            <w:right w:val="none" w:sz="0" w:space="0" w:color="auto"/>
          </w:divBdr>
          <w:divsChild>
            <w:div w:id="19451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8801">
      <w:bodyDiv w:val="1"/>
      <w:marLeft w:val="0"/>
      <w:marRight w:val="0"/>
      <w:marTop w:val="0"/>
      <w:marBottom w:val="0"/>
      <w:divBdr>
        <w:top w:val="none" w:sz="0" w:space="0" w:color="auto"/>
        <w:left w:val="none" w:sz="0" w:space="0" w:color="auto"/>
        <w:bottom w:val="none" w:sz="0" w:space="0" w:color="auto"/>
        <w:right w:val="none" w:sz="0" w:space="0" w:color="auto"/>
      </w:divBdr>
      <w:divsChild>
        <w:div w:id="342824601">
          <w:marLeft w:val="0"/>
          <w:marRight w:val="0"/>
          <w:marTop w:val="0"/>
          <w:marBottom w:val="0"/>
          <w:divBdr>
            <w:top w:val="none" w:sz="0" w:space="0" w:color="auto"/>
            <w:left w:val="none" w:sz="0" w:space="0" w:color="auto"/>
            <w:bottom w:val="none" w:sz="0" w:space="0" w:color="auto"/>
            <w:right w:val="none" w:sz="0" w:space="0" w:color="auto"/>
          </w:divBdr>
          <w:divsChild>
            <w:div w:id="13658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6296">
      <w:bodyDiv w:val="1"/>
      <w:marLeft w:val="0"/>
      <w:marRight w:val="0"/>
      <w:marTop w:val="0"/>
      <w:marBottom w:val="0"/>
      <w:divBdr>
        <w:top w:val="none" w:sz="0" w:space="0" w:color="auto"/>
        <w:left w:val="none" w:sz="0" w:space="0" w:color="auto"/>
        <w:bottom w:val="none" w:sz="0" w:space="0" w:color="auto"/>
        <w:right w:val="none" w:sz="0" w:space="0" w:color="auto"/>
      </w:divBdr>
      <w:divsChild>
        <w:div w:id="1188175220">
          <w:marLeft w:val="0"/>
          <w:marRight w:val="0"/>
          <w:marTop w:val="0"/>
          <w:marBottom w:val="0"/>
          <w:divBdr>
            <w:top w:val="none" w:sz="0" w:space="0" w:color="auto"/>
            <w:left w:val="none" w:sz="0" w:space="0" w:color="auto"/>
            <w:bottom w:val="none" w:sz="0" w:space="0" w:color="auto"/>
            <w:right w:val="none" w:sz="0" w:space="0" w:color="auto"/>
          </w:divBdr>
          <w:divsChild>
            <w:div w:id="2059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48888">
      <w:bodyDiv w:val="1"/>
      <w:marLeft w:val="0"/>
      <w:marRight w:val="0"/>
      <w:marTop w:val="0"/>
      <w:marBottom w:val="0"/>
      <w:divBdr>
        <w:top w:val="none" w:sz="0" w:space="0" w:color="auto"/>
        <w:left w:val="none" w:sz="0" w:space="0" w:color="auto"/>
        <w:bottom w:val="none" w:sz="0" w:space="0" w:color="auto"/>
        <w:right w:val="none" w:sz="0" w:space="0" w:color="auto"/>
      </w:divBdr>
      <w:divsChild>
        <w:div w:id="1731885344">
          <w:marLeft w:val="0"/>
          <w:marRight w:val="0"/>
          <w:marTop w:val="0"/>
          <w:marBottom w:val="0"/>
          <w:divBdr>
            <w:top w:val="none" w:sz="0" w:space="0" w:color="auto"/>
            <w:left w:val="none" w:sz="0" w:space="0" w:color="auto"/>
            <w:bottom w:val="none" w:sz="0" w:space="0" w:color="auto"/>
            <w:right w:val="none" w:sz="0" w:space="0" w:color="auto"/>
          </w:divBdr>
        </w:div>
      </w:divsChild>
    </w:div>
    <w:div w:id="2052026112">
      <w:bodyDiv w:val="1"/>
      <w:marLeft w:val="0"/>
      <w:marRight w:val="0"/>
      <w:marTop w:val="0"/>
      <w:marBottom w:val="0"/>
      <w:divBdr>
        <w:top w:val="none" w:sz="0" w:space="0" w:color="auto"/>
        <w:left w:val="none" w:sz="0" w:space="0" w:color="auto"/>
        <w:bottom w:val="none" w:sz="0" w:space="0" w:color="auto"/>
        <w:right w:val="none" w:sz="0" w:space="0" w:color="auto"/>
      </w:divBdr>
      <w:divsChild>
        <w:div w:id="658924948">
          <w:marLeft w:val="0"/>
          <w:marRight w:val="0"/>
          <w:marTop w:val="0"/>
          <w:marBottom w:val="0"/>
          <w:divBdr>
            <w:top w:val="none" w:sz="0" w:space="0" w:color="auto"/>
            <w:left w:val="none" w:sz="0" w:space="0" w:color="auto"/>
            <w:bottom w:val="none" w:sz="0" w:space="0" w:color="auto"/>
            <w:right w:val="none" w:sz="0" w:space="0" w:color="auto"/>
          </w:divBdr>
          <w:divsChild>
            <w:div w:id="6213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3184">
      <w:bodyDiv w:val="1"/>
      <w:marLeft w:val="0"/>
      <w:marRight w:val="0"/>
      <w:marTop w:val="0"/>
      <w:marBottom w:val="0"/>
      <w:divBdr>
        <w:top w:val="none" w:sz="0" w:space="0" w:color="auto"/>
        <w:left w:val="none" w:sz="0" w:space="0" w:color="auto"/>
        <w:bottom w:val="none" w:sz="0" w:space="0" w:color="auto"/>
        <w:right w:val="none" w:sz="0" w:space="0" w:color="auto"/>
      </w:divBdr>
    </w:div>
    <w:div w:id="2131393661">
      <w:bodyDiv w:val="1"/>
      <w:marLeft w:val="0"/>
      <w:marRight w:val="0"/>
      <w:marTop w:val="0"/>
      <w:marBottom w:val="0"/>
      <w:divBdr>
        <w:top w:val="none" w:sz="0" w:space="0" w:color="auto"/>
        <w:left w:val="none" w:sz="0" w:space="0" w:color="auto"/>
        <w:bottom w:val="none" w:sz="0" w:space="0" w:color="auto"/>
        <w:right w:val="none" w:sz="0" w:space="0" w:color="auto"/>
      </w:divBdr>
      <w:divsChild>
        <w:div w:id="389110937">
          <w:marLeft w:val="0"/>
          <w:marRight w:val="0"/>
          <w:marTop w:val="0"/>
          <w:marBottom w:val="0"/>
          <w:divBdr>
            <w:top w:val="none" w:sz="0" w:space="0" w:color="auto"/>
            <w:left w:val="none" w:sz="0" w:space="0" w:color="auto"/>
            <w:bottom w:val="none" w:sz="0" w:space="0" w:color="auto"/>
            <w:right w:val="none" w:sz="0" w:space="0" w:color="auto"/>
          </w:divBdr>
        </w:div>
      </w:divsChild>
    </w:div>
    <w:div w:id="2131506406">
      <w:bodyDiv w:val="1"/>
      <w:marLeft w:val="0"/>
      <w:marRight w:val="0"/>
      <w:marTop w:val="0"/>
      <w:marBottom w:val="0"/>
      <w:divBdr>
        <w:top w:val="none" w:sz="0" w:space="0" w:color="auto"/>
        <w:left w:val="none" w:sz="0" w:space="0" w:color="auto"/>
        <w:bottom w:val="none" w:sz="0" w:space="0" w:color="auto"/>
        <w:right w:val="none" w:sz="0" w:space="0" w:color="auto"/>
      </w:divBdr>
      <w:divsChild>
        <w:div w:id="611203793">
          <w:marLeft w:val="0"/>
          <w:marRight w:val="0"/>
          <w:marTop w:val="0"/>
          <w:marBottom w:val="0"/>
          <w:divBdr>
            <w:top w:val="none" w:sz="0" w:space="0" w:color="auto"/>
            <w:left w:val="none" w:sz="0" w:space="0" w:color="auto"/>
            <w:bottom w:val="none" w:sz="0" w:space="0" w:color="auto"/>
            <w:right w:val="none" w:sz="0" w:space="0" w:color="auto"/>
          </w:divBdr>
          <w:divsChild>
            <w:div w:id="1559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9010">
      <w:bodyDiv w:val="1"/>
      <w:marLeft w:val="0"/>
      <w:marRight w:val="0"/>
      <w:marTop w:val="0"/>
      <w:marBottom w:val="0"/>
      <w:divBdr>
        <w:top w:val="none" w:sz="0" w:space="0" w:color="auto"/>
        <w:left w:val="none" w:sz="0" w:space="0" w:color="auto"/>
        <w:bottom w:val="none" w:sz="0" w:space="0" w:color="auto"/>
        <w:right w:val="none" w:sz="0" w:space="0" w:color="auto"/>
      </w:divBdr>
      <w:divsChild>
        <w:div w:id="1460495817">
          <w:marLeft w:val="0"/>
          <w:marRight w:val="0"/>
          <w:marTop w:val="0"/>
          <w:marBottom w:val="0"/>
          <w:divBdr>
            <w:top w:val="none" w:sz="0" w:space="0" w:color="auto"/>
            <w:left w:val="none" w:sz="0" w:space="0" w:color="auto"/>
            <w:bottom w:val="none" w:sz="0" w:space="0" w:color="auto"/>
            <w:right w:val="none" w:sz="0" w:space="0" w:color="auto"/>
          </w:divBdr>
          <w:divsChild>
            <w:div w:id="1612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7.png"/><Relationship Id="rId26" Type="http://schemas.openxmlformats.org/officeDocument/2006/relationships/hyperlink" Target="https://doi.org/10.1016/j.drugpo.2020.102663" TargetMode="External"/><Relationship Id="rId3" Type="http://schemas.openxmlformats.org/officeDocument/2006/relationships/styles" Target="styles.xml"/><Relationship Id="rId21" Type="http://schemas.openxmlformats.org/officeDocument/2006/relationships/hyperlink" Target="https://doi.org/10.1016/S2468-2667(23)00082-8"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doi.org/10.1016/S2352-3018(19)30036-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1136/heartjnl-2011-3007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hyperlink" Target="https://doi.org/10.2105/AJPH.2017.304187"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hyperlink" Target="https://doi.org/10.1016/s0140-6736(19)32229-9" TargetMode="External"/><Relationship Id="rId28" Type="http://schemas.openxmlformats.org/officeDocument/2006/relationships/hyperlink" Target="https://doi.org/10.1016/j.drugpo.2018.02.005"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doi.org/10.1161/CIR.0000000000001007"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hyperlink" Target="https://publichealthscotland.scot/publications/estimated-prevalence-of-opioid-dependence-in-scotland/" TargetMode="External"/><Relationship Id="rId27" Type="http://schemas.openxmlformats.org/officeDocument/2006/relationships/hyperlink" Target="https://doi.org/10.1111/add.16500" TargetMode="External"/><Relationship Id="rId30" Type="http://schemas.openxmlformats.org/officeDocument/2006/relationships/hyperlink" Target="https://doi.org/10.1016/j.drugalcdep.2018.08.029" TargetMode="Externa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1T23:00:42.034"/>
    </inkml:context>
    <inkml:brush xml:id="br0">
      <inkml:brushProperty name="width" value="0.035" units="cm"/>
      <inkml:brushProperty name="height" value="0.035" units="cm"/>
    </inkml:brush>
  </inkml:definitions>
  <inkml:trace contextRef="#ctx0" brushRef="#br0">26 45 24575,'22'0'0,"0"-1"0,1-1 0,34-8 0,-40 8 0,0 0 0,0 0 0,28 2 0,-33 1 0,0 0 0,0-1 0,-1-1 0,1 0 0,0-1 0,-1 0 0,1 0 0,-1-1 0,17-8 0,-8 5 0,-20 6 0,1 0 0,-1 0 0,1 0 0,-1 0 0,1 1 0,-1-1 0,0 0 0,1 0 0,-1 0 0,1 0 0,-1 1 0,0-1 0,1 0 0,-1 0 0,1 1 0,-1-1 0,0 0 0,1 0 0,-1 1 0,0-1 0,0 0 0,1 1 0,-1-1 0,1 1 0,-1 2 0,1-1 0,-1 0 0,0 1 0,0-1 0,0 0 0,0 1 0,0-1 0,0 0 0,-1 1 0,1-1 0,-1 0 0,-1 5 0,-3 6 0,0 0 0,-2 0 0,1 0 0,-2-1 0,0 0 0,-14 18 0,10-15 0,1 0 0,-17 33 0,22-34 0,-8 30 0,10-29 0,0-1 0,-8 17 0,10-27 0,0 1 0,0-1 0,-1-1 0,1 1 0,-1 0 0,0-1 0,0 1 0,-1-1 0,1 0 0,-1 0 0,-5 4 0,0-1 0,0 1 0,1 1 0,-1-1 0,1 1 0,1 0 0,-9 12 0,-14 16 0,22-29 0,0 0 0,-1 0 0,-11 7 0,10-8 0,0 1 0,-13 12 0,20-16 0,0 0 0,-1 0 0,1 1 0,0-1 0,0 1 0,0 0 0,-3 5 0,6-9 0,0 1 0,0-1 0,0 1 0,-1-1 0,1 1 0,0-1 0,0 1 0,0-1 0,0 1 0,0-1 0,0 1 0,0-1 0,0 1 0,0-1 0,0 1 0,0-1 0,1 1 0,-1-1 0,0 1 0,0-1 0,0 1 0,1-1 0,-1 1 0,1 0 0,0 0 0,0 0 0,0-1 0,0 1 0,1 0 0,-1-1 0,0 1 0,0 0 0,1-1 0,-1 0 0,1 1 0,-1-1 0,0 0 0,3 1 0,36 2 0,78-4 0,-38-2 0,-61 4-119,-11-1 23,0 1 0,0-1 0,0 0 0,0-1 1,0 0-1,0 0 0,-1 0 0,1-1 0,0-1 0,-1 1 1,1-1-1,11-7 0,-9 3-6730</inkml:trace>
  <inkml:trace contextRef="#ctx0" brushRef="#br0" timeOffset="1409">613 45 24575,'0'34'0,"1"1"0,10 52 0,-5-42 0,-3 1 0,-3 92 0,-2-54 0,3-6-1365,-1-61-5461</inkml:trace>
  <inkml:trace contextRef="#ctx0" brushRef="#br0" timeOffset="3466.58">632 360 24575,'1'-3'0,"0"1"0,1 0 0,0 0 0,0 0 0,0 0 0,0 0 0,0 0 0,0 0 0,0 0 0,0 1 0,1-1 0,4-1 0,4-5 0,-3 2 0,0-1 0,1 1 0,0 1 0,0 0 0,13-6 0,-19 10 0,0 0 0,-1 0 0,1 0 0,0 0 0,0 1 0,0 0 0,0-1 0,0 1 0,0 0 0,0 0 0,-1 0 0,1 1 0,0-1 0,0 1 0,0 0 0,0-1 0,-1 1 0,1 1 0,0-1 0,-1 0 0,1 0 0,-1 1 0,1 0 0,3 2 0,-4-1 0,0 0 0,0-1 0,0 1 0,0 0 0,-1 0 0,1 0 0,-1 0 0,0 1 0,0-1 0,0 0 0,0 0 0,0 1 0,-1-1 0,1 6 0,-3 56 0,1-40 0,0-7-227,1-1-1,0 1 1,2-1-1,0 1 1,5 20-1,-3-25-6598</inkml:trace>
  <inkml:trace contextRef="#ctx0" brushRef="#br0" timeOffset="6760.17">1159 418 24575,'-2'-4'0,"1"0"0,-1 1 0,0-1 0,0 1 0,0-1 0,0 1 0,0 0 0,-1 0 0,0 0 0,0 0 0,1 1 0,-6-4 0,-1-2 0,4 3 0,0 0 0,0 0 0,-1 1 0,0 0 0,0 0 0,0 0 0,0 1 0,0 0 0,-9-3 0,11 5 0,-1-1 0,1 2 0,-1-1 0,0 0 0,1 1 0,-1 0 0,0 0 0,1 0 0,-1 1 0,0-1 0,1 1 0,-1 0 0,1 0 0,-1 1 0,-4 2 0,5-2 0,-1 0 0,1 0 0,0 1 0,0 0 0,0 0 0,1 0 0,-1 0 0,1 0 0,-1 1 0,1 0 0,0-1 0,0 1 0,1 1 0,-1-1 0,1 0 0,0 0 0,-2 8 0,2-6 0,0 1 0,1 0 0,0-1 0,0 1 0,1 0 0,0 0 0,0-1 0,1 1 0,-1 0 0,2 0 0,3 12 0,2 8 0,-4-14 0,1 0 0,1 0 0,-1 0 0,8 11 0,-9-20 0,1 0 0,0-1 0,0 1 0,0-1 0,0 0 0,0-1 0,0 1 0,1-1 0,0 1 0,-1-1 0,1-1 0,0 1 0,0-1 0,0 0 0,0 0 0,0 0 0,0-1 0,0 1 0,0-1 0,0-1 0,0 1 0,5-1 0,-8 0 0,0 0 0,0 0 0,-1 0 0,1-1 0,0 1 0,-1 0 0,0 0 0,1-1 0,-1 1 0,0-1 0,1 0 0,-1 1 0,0-1 0,0 0 0,0 1 0,0-3 0,13-37 0,-13 33 0,1 1 0,0 0 0,6-12 0,7-4 0,-10 16 0,-1 0 0,1 0 0,-1-1 0,-1 1 0,1-1 0,-1 0 0,-1 0 0,4-14 0,-7 21 0,1 0 0,1 0 0,-1 0 0,0 0 0,0 0 0,0 0 0,0 0 0,1 0 0,-1 1 0,0-1 0,1 0 0,-1 0 0,1 0 0,-1 0 0,1 0 0,1-1 0,-2 2 0,1 0 0,-1 0 0,0 0 0,1 0 0,-1 0 0,0 0 0,1 0 0,-1 0 0,1 1 0,-1-1 0,0 0 0,1 0 0,-1 0 0,0 0 0,1 1 0,-1-1 0,0 0 0,1 0 0,-1 0 0,0 1 0,0-1 0,1 0 0,-1 1 0,0-1 0,0 0 0,1 1 0,-1-1 0,0 1 0,20 36 0,-16-27 0,7 15 0,-1-1 0,8 30 0,-13-39 0,-1-1-1365,0-2-5461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1T23:00:18.034"/>
    </inkml:context>
    <inkml:brush xml:id="br0">
      <inkml:brushProperty name="width" value="0.035" units="cm"/>
      <inkml:brushProperty name="height" value="0.035" units="cm"/>
    </inkml:brush>
  </inkml:definitions>
  <inkml:trace contextRef="#ctx0" brushRef="#br0">0 79 24575,'44'2'0,"-27"-1"0,1-1 0,0 0 0,-1-1 0,23-4 0,-35 3 0,0 0 0,0 0 0,0-1 0,0 1 0,0-1 0,0 0 0,-1-1 0,1 1 0,-1-1 0,5-5 0,-6 5 0,1 0 0,0 1 0,-1 0 0,1 0 0,0 0 0,1 0 0,-1 0 0,0 1 0,1 0 0,0 0 0,-1 0 0,1 1 0,5-2 0,-2 2-97,0 1-1,-1 0 1,1 0-1,0 1 1,-1 0-1,1 0 1,-1 1-1,1 0 1,-1 0-1,0 1 1,0 0-1,0 0 0,7 5 1,-3-2-6729</inkml:trace>
  <inkml:trace contextRef="#ctx0" brushRef="#br0" timeOffset="1217.21">0 59 24575,'0'567'-1365,"0"-551"-5461</inkml:trace>
  <inkml:trace contextRef="#ctx0" brushRef="#br0" timeOffset="2218.77">21 312 24575,'32'0'0,"-11"2"0,0-2 0,0-1 0,0 0 0,0-2 0,0 0 0,-1-1 0,30-11 0,23-12-1365,-60 23-5461</inkml:trace>
  <inkml:trace contextRef="#ctx0" brushRef="#br0" timeOffset="16773.5">744 431 24575,'0'3'0,"0"5"0,0 4 0,0 3 0,4 0 0,0-1 0,3-1 0,1-1 0,2-1 0,-1 0 0,-1 1 0,-3 3 0,2-2 0,-1 1 0,2-3 0,0-3-8191</inkml:trace>
  <inkml:trace contextRef="#ctx0" brushRef="#br0" timeOffset="18290.72">919 373 24575,'0'3'0,"0"5"0,0 4 0,0 3 0,0 3 0,0 1 0,0 2 0,4-4 0,0-1 0,0 0 0,-1 0 0,3-2 0,0 0 0,-1 1 0,-1 0 0,-2 3 0,0-4-8191</inkml:trace>
  <inkml:trace contextRef="#ctx0" brushRef="#br0" timeOffset="20548.71">977 453 24575,'1'-3'0,"0"0"0,0 0 0,1 0 0,-1 0 0,1 0 0,0 0 0,-1 1 0,1-1 0,0 1 0,3-3 0,6-9 0,-6 5 0,1 0 0,1-1 0,0 2 0,0-1 0,12-10 0,-15 16 0,0 0 0,0 0 0,1 0 0,-1 1 0,1-1 0,0 1 0,0 0 0,0 0 0,0 1 0,0 0 0,0 0 0,0 0 0,9 0 0,-8 0 0,0 1 0,0 0 0,0 0 0,0 1 0,0 0 0,7 1 0,-11-1 0,0 0 0,0-1 0,-1 1 0,1 0 0,0 0 0,-1 0 0,1 0 0,-1 1 0,1-1 0,-1 0 0,0 1 0,0-1 0,1 1 0,-1-1 0,0 1 0,0-1 0,0 1 0,-1 0 0,1-1 0,0 1 0,-1 0 0,1 0 0,-1 0 0,1 2 0,2 12 0,3 13 0,-1 1 0,0 33 0,-3-49-48,0 1-1,0-1 1,1 0 0,1 0-1,7 17 1,-4-9-1027,-3-9-5751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1T23:00:53.633"/>
    </inkml:context>
    <inkml:brush xml:id="br0">
      <inkml:brushProperty name="width" value="0.035" units="cm"/>
      <inkml:brushProperty name="height" value="0.035" units="cm"/>
    </inkml:brush>
  </inkml:definitions>
  <inkml:trace contextRef="#ctx0" brushRef="#br0">0 12 24575,'0'3'0,"0"5"0,0 4 0,0 3 0,0 3 0,0 1 0,0 1 0,0 1 0,0-1 0,0 0 0,0 1 0,0-2 0,0 1 0,4-4 0,0-1 0,1 1 0,-2 0 0,0-2-8191</inkml:trace>
  <inkml:trace contextRef="#ctx0" brushRef="#br0" timeOffset="1707.18">21 90 24575,'2'-1'0,"0"1"0,0-1 0,0 0 0,0 1 0,0-1 0,0 0 0,-1 0 0,1 0 0,0 0 0,-1 0 0,1-1 0,0 1 0,-1-1 0,3-2 0,17-24 0,-18 25 0,-1-1 0,1 1 0,0 0 0,0 0 0,0 0 0,0 0 0,0 0 0,1 1 0,-1-1 0,1 1 0,0 0 0,0 0 0,0 0 0,0 0 0,6-1 0,-7 3 0,-1 0 0,0-1 0,0 1 0,1 0 0,-1 0 0,0 1 0,0-1 0,0 0 0,1 1 0,-1-1 0,0 1 0,0 0 0,0 0 0,0 0 0,0 0 0,0 0 0,0 0 0,0 0 0,-1 1 0,1-1 0,0 1 0,-1-1 0,1 1 0,-1 0 0,0-1 0,1 1 0,-1 0 0,0 0 0,0 0 0,0 0 0,1 4 0,4 6 0,0 0 0,12 15 0,4 9 0,-19-30 13,-1 0 0,0 0-1,0 0 1,-1 1 0,1-1-1,-1 1 1,-1-1 0,1 0-1,-2 8 1,1-4-386,1-1 0,0 0 0,2 11 0,1-7-6453</inkml:trace>
  <inkml:trace contextRef="#ctx0" brushRef="#br0" timeOffset="5376.97">586 109 24575,'0'-5'0,"-1"0"0,1 0 0,-2 1 0,1-1 0,0 1 0,-1-1 0,0 1 0,0 0 0,0-1 0,0 1 0,-1 0 0,1 0 0,-7-6 0,7 8 0,0 0 0,0-1 0,0 1 0,-1 0 0,1 0 0,-1 0 0,1 0 0,-1 1 0,0-1 0,0 1 0,1-1 0,-1 1 0,0 0 0,0 0 0,-1 0 0,1 1 0,0-1 0,0 1 0,0 0 0,-7 0 0,7 1 0,0-1 0,-1 2 0,1-1 0,0 0 0,-1 1 0,1-1 0,0 1 0,0 0 0,0 0 0,1 0 0,-5 5 0,-26 31 0,23-24 0,7-10 0,0 1 0,1-1 0,-1 1 0,1 0 0,1-1 0,-1 1 0,0 0 0,1 0 0,0 1 0,0-1 0,1 7 0,-1 11 0,3 30 0,0-16 0,-2-28 0,1 1 0,0 0 0,1 0 0,0 0 0,1-1 0,0 1 0,0-1 0,8 15 0,-10-21 0,0-1 0,1 1 0,-1-1 0,1 1 0,-1-1 0,1 0 0,0 0 0,0 0 0,0 0 0,0 0 0,0 0 0,1-1 0,-1 1 0,0-1 0,1 0 0,-1 1 0,1-1 0,-1 0 0,1 0 0,0-1 0,-1 1 0,1 0 0,0-1 0,0 0 0,-1 1 0,1-1 0,0 0 0,0-1 0,0 1 0,-1 0 0,1-1 0,0 0 0,0 1 0,4-3 0,-5 2 0,0-1 0,0 1 0,0 0 0,0-1 0,0 1 0,-1-1 0,1 0 0,0 1 0,-1-1 0,0 0 0,1 0 0,-1 0 0,0 0 0,0 0 0,0-1 0,1-2 0,11-44 0,-5 16 0,-2 19 0,0 0 0,1 0 0,14-21 0,-16 27 0,-1-1 0,0 0 0,3-10 0,5-13 0,-4 78 0,-3-15 0,0 0 0,-2 0 0,-1 42 0,-2-60 0,2 1 0,0-1 0,4 16 0,4 31 0,-9-55 0,-1 0 0,0 0 0,0 1 0,-1-1 0,0 0 0,0 0 0,0 0 0,0 0 0,-4 7 0,4-9 0,-1 0 0,0 0 0,-1 0 0,1 0 0,0-1 0,-1 1 0,1 0 0,-1-1 0,-6 4 0,-32 19 0,21-14 0,14-8-85,0 0 0,-1 0-1,1-1 1,0 0 0,-1 0-1,0 0 1,1-1 0,-1 0-1,0 0 1,1 0 0,-1-1-1,0 0 1,0-1 0,0 0-1,-7-1 1,1-3-6741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1T23:00:30.053"/>
    </inkml:context>
    <inkml:brush xml:id="br0">
      <inkml:brushProperty name="width" value="0.035" units="cm"/>
      <inkml:brushProperty name="height" value="0.035" units="cm"/>
    </inkml:brush>
  </inkml:definitions>
  <inkml:trace contextRef="#ctx0" brushRef="#br0">276 38 24575,'-5'0'0,"-1"-1"0,0 0 0,1-1 0,-1 1 0,1-1 0,0 0 0,-1-1 0,-5-3 0,4 3 0,0-1 0,-1 1 0,-11-3 0,13 5 0,-1 0 0,1 0 0,0 1 0,-1 0 0,1 0 0,0 0 0,-1 1 0,1 0 0,0 0 0,-1 0 0,1 1 0,0 0 0,0 0 0,0 1 0,1-1 0,-1 1 0,1 1 0,-1-1 0,1 1 0,0 0 0,0 0 0,1 0 0,-1 1 0,1 0 0,0 0 0,0 0 0,0 0 0,1 1 0,0-1 0,0 1 0,0 0 0,1 0 0,0 0 0,0 0 0,1 0 0,-1 0 0,0 10 0,2-4 0,-1 0 0,2 1 0,0-1 0,2 14 0,-1-20 0,0 1 0,0-1 0,1 0 0,0 1 0,0-1 0,0 0 0,1-1 0,8 12 0,-6-11 0,0 1 0,0-1 0,1 0 0,0 0 0,0-1 0,0 0 0,0 0 0,1 0 0,0-1 0,0-1 0,0 1 0,1-1 0,-1 0 0,1-1 0,0 0 0,-1-1 0,1 0 0,0 0 0,0-1 0,14 0 0,-20-1 0,-1 1 0,1-1 0,0 1 0,0-1 0,-1 0 0,1 0 0,0 0 0,-1-1 0,1 1 0,-1-1 0,0 1 0,1-1 0,-1 0 0,0 1 0,0-1 0,0 0 0,0-1 0,-1 1 0,1 0 0,0 0 0,-1-1 0,0 1 0,1-1 0,-1 0 0,0 1 0,0-1 0,-1 0 0,1 1 0,0-4 0,1-10 0,0 1 0,-1 0 0,-1-1 0,-2-18 0,1 10 0,0-1-79,2-48-1207,2 56-5540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9179A-AAE2-42E8-8ED2-F05D635878D6}">
  <ds:schemaRefs>
    <ds:schemaRef ds:uri="http://schemas.openxmlformats.org/officeDocument/2006/bibliography"/>
  </ds:schemaRefs>
</ds:datastoreItem>
</file>

<file path=docMetadata/LabelInfo.xml><?xml version="1.0" encoding="utf-8"?>
<clbl:labelList xmlns:clbl="http://schemas.microsoft.com/office/2020/mipLabelMetadata">
  <clbl:label id="{9569d428-cde8-4093-8c72-538d9175bce5}" enabled="1" method="Privileged" siteId="{10efe0bd-a030-4bca-809c-b5e6745e499a}" removed="0"/>
</clbl:labelList>
</file>

<file path=docProps/app.xml><?xml version="1.0" encoding="utf-8"?>
<Properties xmlns="http://schemas.openxmlformats.org/officeDocument/2006/extended-properties" xmlns:vt="http://schemas.openxmlformats.org/officeDocument/2006/docPropsVTypes">
  <Template>Normal</Template>
  <TotalTime>1535</TotalTime>
  <Pages>29</Pages>
  <Words>5325</Words>
  <Characters>30359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NHSS National Services Scotland</Company>
  <LinksUpToDate>false</LinksUpToDate>
  <CharactersWithSpaces>35613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 Zhang</dc:creator>
  <cp:lastModifiedBy>Fan Zhang</cp:lastModifiedBy>
  <cp:revision>402</cp:revision>
  <dcterms:created xsi:type="dcterms:W3CDTF">2025-08-05T19:12:00Z</dcterms:created>
  <dcterms:modified xsi:type="dcterms:W3CDTF">2025-08-11T23:01:00Z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eyJoZGlkIjoiMGFmYWVjYWExN2YxYmMyNjZiNmM1MmY1NzZkNmIwYjkiLCJ1c2VySWQiOiIzNTEyNTQzMzkifQ==</vt:lpwstr>
  </property>
  <property fmtid="{D5CDD505-2E9C-101B-9397-08002B2CF9AE}" pid="3" name="KSOProductBuildVer">
    <vt:lpwstr>2052-12.1.0.20305</vt:lpwstr>
  </property>
  <property fmtid="{D5CDD505-2E9C-101B-9397-08002B2CF9AE}" pid="4" name="ICV">
    <vt:lpwstr>F0FCA94DD70B471B97B1A6889852D126_13</vt:lpwstr>
  </property>
</Properties>
</file>