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 w:line="264" w:lineRule="auto"/>
        <w:jc w:val="left"/>
      </w:pPr>
      <w:r>
        <w:rPr>
          <w:rFonts w:ascii="Noto Sans CJK TC" w:hAnsi="Noto Sans CJK TC" w:eastAsia="Noto Sans CJK TC"/>
          <w:b/>
          <w:color w:val="1F4E79"/>
          <w:sz w:val="42"/>
        </w:rPr>
        <w:t>shadowMAS 封包欄位字典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color w:val="5B6B7A"/>
          <w:sz w:val="23"/>
        </w:rPr>
        <w:t>PACKET-FIELD-DICTIONARY.v0 中文解讀版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color w:val="5B6B7A"/>
          <w:sz w:val="19"/>
        </w:rPr>
        <w:t>定位：人類可讀版本（zh-TW companion）  ·  對照來源：01_truth/PACKET-FIELD-DICTIONARY.v0.en.md  ·  用途：理解欄位語意、邊界與後續設計理由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5DFEA"/>
          <w:left w:val="single" w:sz="8" w:space="0" w:color="D5DFEA"/>
          <w:bottom w:val="single" w:sz="8" w:space="0" w:color="D5DFEA"/>
          <w:right w:val="single" w:sz="8" w:space="0" w:color="D5DFEA"/>
          <w:insideH w:val="single" w:sz="8" w:space="0" w:color="D5DFEA"/>
          <w:insideV w:val="single" w:sz="8" w:space="0" w:color="D5DFEA"/>
        </w:tblBorders>
      </w:tblPr>
      <w:tblGrid>
        <w:gridCol w:w="4986"/>
        <w:gridCol w:w="4986"/>
      </w:tblGrid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120" w:line="30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1F4E79"/>
                <w:sz w:val="20"/>
              </w:rPr>
              <w:t>先讀什麼</w:t>
            </w:r>
          </w:p>
        </w:tc>
        <w:tc>
          <w:tcPr>
            <w:tcW w:type="dxa" w:w="70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BFD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先看「封包家族」「共享欄位」「禁止混淆」，再看 task / memory / review 三個家族。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120" w:line="30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1F4E79"/>
                <w:sz w:val="20"/>
              </w:rPr>
              <w:t>這份不做什麼</w:t>
            </w:r>
          </w:p>
        </w:tc>
        <w:tc>
          <w:tcPr>
            <w:tcW w:type="dxa" w:w="70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BFD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這份不是機器 schema，也不是正式英文真相；它是給人快速理解與檢查設計細節的中文 companion。</w:t>
            </w:r>
          </w:p>
        </w:tc>
      </w:tr>
    </w:tbl>
    <w:p/>
    <w:p>
      <w:pPr>
        <w:spacing w:after="120" w:line="300" w:lineRule="auto"/>
      </w:pPr>
      <w:r>
        <w:rPr>
          <w:rFonts w:ascii="Noto Sans CJK TC" w:hAnsi="Noto Sans CJK TC" w:eastAsia="Noto Sans CJK TC"/>
          <w:b/>
          <w:color w:val="1F4E79"/>
          <w:sz w:val="21"/>
        </w:rPr>
        <w:t>閱讀原則：</w:t>
      </w:r>
      <w:r>
        <w:rPr>
          <w:rFonts w:ascii="Noto Sans CJK TC" w:hAnsi="Noto Sans CJK TC" w:eastAsia="Noto Sans CJK TC"/>
          <w:sz w:val="21"/>
        </w:rPr>
        <w:t xml:space="preserve"> 英文 formal 檔是 canonical；這份中文文件著重可讀、理解與設計邊界。後續若英文 formal truth 更新，這份應同步修訂其高價值說明部分。</w:t>
      </w:r>
    </w:p>
    <w:p>
      <w:pPr>
        <w:keepNext/>
        <w:spacing w:before="320" w:after="120"/>
      </w:pPr>
      <w:r>
        <w:rPr>
          <w:rFonts w:ascii="Noto Sans CJK TC" w:hAnsi="Noto Sans CJK TC" w:eastAsia="Noto Sans CJK TC"/>
          <w:b/>
          <w:color w:val="1F4E79"/>
          <w:sz w:val="28"/>
        </w:rPr>
        <w:t>1. 封包家族與設計重點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sz w:val="21"/>
        </w:rPr>
        <w:t>目前 shadowMAS 的最小封包家族有三種：task_packet、memory_packet、review_packet。共同方向是：命名要穩定、結構要明確、不要讓同名欄位在不同家族裡變成不同意思。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sz w:val="21"/>
        </w:rPr>
        <w:t>原則上，共享欄位只保留真正跨家族都需要、而且語意一致的欄位；家族特有的欄位就留在各自家族內，不要為了整齊硬拉成共享。</w:t>
      </w:r>
    </w:p>
    <w:p>
      <w:pPr>
        <w:keepNext/>
        <w:spacing w:before="200" w:after="80"/>
      </w:pPr>
      <w:r>
        <w:rPr>
          <w:rFonts w:ascii="Noto Sans CJK TC" w:hAnsi="Noto Sans CJK TC" w:eastAsia="Noto Sans CJK TC"/>
          <w:b/>
          <w:color w:val="335E7E"/>
          <w:sz w:val="23"/>
        </w:rPr>
        <w:t>2. 共享核心欄位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098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163A59"/>
                <w:sz w:val="20"/>
              </w:rPr>
              <w:t>欄位</w:t>
            </w:r>
          </w:p>
        </w:tc>
        <w:tc>
          <w:tcPr>
            <w:tcW w:type="dxa" w:w="3515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163A59"/>
                <w:sz w:val="20"/>
              </w:rPr>
              <w:t>語意</w:t>
            </w:r>
          </w:p>
        </w:tc>
        <w:tc>
          <w:tcPr>
            <w:tcW w:type="dxa" w:w="3402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163A59"/>
                <w:sz w:val="20"/>
              </w:rPr>
              <w:t>使用與邊界提醒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packet_id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人類可讀的封包識別碼。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偏向閱讀與溝通用途；若已有 packet_uid，則不要求永久全域唯一。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packet_uid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全域唯一的機器識別碼。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跨 session、registry、關聯追蹤時優先使用。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packet_type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封包家族／型別。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目前最小集合：task_packet、memory_packet、review_packet。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schema_version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此封包採用的 schema 版本。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機器穩定封包必填，避免驗證與相容性漂移。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task_id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此封包所屬的高階任務識別碼。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多個封包可掛在同一個 task_id 之下。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run_id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某次執行 run 的識別碼。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用來分辨同一任務下的多次執行。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session_id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來源 session 的識別碼。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方便追溯，但不能取代 task_id 或 run_id。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created_at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封包建立時間。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建議採機器可解析的時間格式，避免自由文字。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created_by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誰建立了這個封包。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可標人類、角色層、工具或 agent 身分。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owner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穩定責任持有者。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回答誰對封包生命週期負責；不等於目前可寫的人。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writable_by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目前允許寫入此封包的角色。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屬於 state-gated 欄位；概念上要和 owner 分開。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supervision_mode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人類與 agent 的監督模式。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目前方向：human_live_pair、human_available_delegate、human_away_autonomous。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risk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此封包對應工作的治理風險層級。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目前方向：r0_trivial 至 r4_human_only。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source_refs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本封包使用到的來源引用。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負責可追溯性；來源被引用不等於來源被批准。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artifact_refs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本封包產生、修改或觸及的產物引用。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支撐 write-back、review 與追蹤。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related_packets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與此封包相關的其他封包。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方便形成圖狀鏈結與關聯追蹤。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tags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輕量標籤。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可用於搜尋、分流、群組，但不能取代結構化欄位。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status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封包目前的生命週期狀態。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實際允許值取決於 packet family。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handoff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最小交接區塊。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保持短小、結構化，避免變成巨型備註區。</w:t>
            </w:r>
          </w:p>
        </w:tc>
      </w:tr>
    </w:tbl>
    <w:p/>
    <w:p>
      <w:pPr>
        <w:keepNext/>
        <w:spacing w:before="320" w:after="120"/>
      </w:pPr>
      <w:r>
        <w:rPr>
          <w:rFonts w:ascii="Noto Sans CJK TC" w:hAnsi="Noto Sans CJK TC" w:eastAsia="Noto Sans CJK TC"/>
          <w:b/>
          <w:color w:val="1F4E79"/>
          <w:sz w:val="28"/>
        </w:rPr>
        <w:t>3. 結構化引用欄位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sz w:val="21"/>
        </w:rPr>
        <w:t>source_refs 與 artifact_refs 是可追溯性的核心。前者回答「你用了哪些來源」，後者回答「你碰到了哪些產物」。兩者常一起出現，但語意不同。</w:t>
      </w:r>
    </w:p>
    <w:p>
      <w:pPr>
        <w:keepNext/>
        <w:spacing w:before="200" w:after="80"/>
      </w:pPr>
      <w:r>
        <w:rPr>
          <w:rFonts w:ascii="Noto Sans CJK TC" w:hAnsi="Noto Sans CJK TC" w:eastAsia="Noto Sans CJK TC"/>
          <w:b/>
          <w:color w:val="335E7E"/>
          <w:sz w:val="23"/>
        </w:rPr>
        <w:t>3.1 source_refs 推薦子欄位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154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163A59"/>
                <w:sz w:val="20"/>
              </w:rPr>
              <w:t>欄位</w:t>
            </w:r>
          </w:p>
        </w:tc>
        <w:tc>
          <w:tcPr>
            <w:tcW w:type="dxa" w:w="3288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163A59"/>
                <w:sz w:val="20"/>
              </w:rPr>
              <w:t>語意</w:t>
            </w:r>
          </w:p>
        </w:tc>
        <w:tc>
          <w:tcPr>
            <w:tcW w:type="dxa" w:w="3572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163A59"/>
                <w:sz w:val="20"/>
              </w:rPr>
              <w:t>使用與邊界提醒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source_type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來源種類。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例如 file、repo_doc、session_handoff、packet、external_reference。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source_id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來源穩定識別碼。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有的話盡量填。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source_path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來源路徑。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可為檔案路徑或邏輯路徑。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source_hash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來源內容雜湊。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做完整性與版本比對時有用。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source_version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來源版本標記。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來源有版本概念時建議提供。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section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引用到的區段。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可標章節、範圍或局部區塊。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relation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本封包如何使用此來源。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例如 read_from、derived_from、supports、conflicts_with。</w:t>
            </w:r>
          </w:p>
        </w:tc>
      </w:tr>
    </w:tbl>
    <w:p/>
    <w:p>
      <w:pPr>
        <w:keepNext/>
        <w:spacing w:before="200" w:after="80"/>
      </w:pPr>
      <w:r>
        <w:rPr>
          <w:rFonts w:ascii="Noto Sans CJK TC" w:hAnsi="Noto Sans CJK TC" w:eastAsia="Noto Sans CJK TC"/>
          <w:b/>
          <w:color w:val="335E7E"/>
          <w:sz w:val="23"/>
        </w:rPr>
        <w:t>3.2 artifact_refs 推薦子欄位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154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163A59"/>
                <w:sz w:val="20"/>
              </w:rPr>
              <w:t>欄位</w:t>
            </w:r>
          </w:p>
        </w:tc>
        <w:tc>
          <w:tcPr>
            <w:tcW w:type="dxa" w:w="3288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163A59"/>
                <w:sz w:val="20"/>
              </w:rPr>
              <w:t>語意</w:t>
            </w:r>
          </w:p>
        </w:tc>
        <w:tc>
          <w:tcPr>
            <w:tcW w:type="dxa" w:w="3572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163A59"/>
                <w:sz w:val="20"/>
              </w:rPr>
              <w:t>使用與邊界提醒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artifact_type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產物種類。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例如 formal_doc、human_doc、yaml_packet、registry_entry、diagram、patch_plan。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artifact_path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產物路徑。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檔案或邏輯位置。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exists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此產物目前是否存在。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布林值，避免不確定語意。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change_kind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這個產物被怎麼對待。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例如 created、updated、reviewed、proposed、superseded。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produced_by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由誰或什麼產生。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方便追溯建立來源。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task_role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由哪個角色層產生或觸及。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例如 L1、L2、L3、L4。</w:t>
            </w:r>
          </w:p>
        </w:tc>
      </w:tr>
    </w:tbl>
    <w:p/>
    <w:p>
      <w:pPr>
        <w:keepNext/>
        <w:spacing w:before="320" w:after="120"/>
      </w:pPr>
      <w:r>
        <w:rPr>
          <w:rFonts w:ascii="Noto Sans CJK TC" w:hAnsi="Noto Sans CJK TC" w:eastAsia="Noto Sans CJK TC"/>
          <w:b/>
          <w:color w:val="1F4E79"/>
          <w:sz w:val="28"/>
        </w:rPr>
        <w:t>4. handoff 交接欄位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sz w:val="21"/>
        </w:rPr>
        <w:t>handoff 是最小交接區塊，不是自由發揮的備忘錄。它應該能讓下一層快速知道：誰交過來、要我做什麼、為什麼、目前卡在哪。</w:t>
      </w:r>
    </w:p>
    <w:p>
      <w:pPr>
        <w:keepNext/>
        <w:spacing w:before="200" w:after="80"/>
      </w:pPr>
      <w:r>
        <w:rPr>
          <w:rFonts w:ascii="Noto Sans CJK TC" w:hAnsi="Noto Sans CJK TC" w:eastAsia="Noto Sans CJK TC"/>
          <w:b/>
          <w:color w:val="335E7E"/>
          <w:sz w:val="23"/>
        </w:rPr>
        <w:t>4.1 handoff 推薦欄位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494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163A59"/>
                <w:sz w:val="20"/>
              </w:rPr>
              <w:t>欄位</w:t>
            </w:r>
          </w:p>
        </w:tc>
        <w:tc>
          <w:tcPr>
            <w:tcW w:type="dxa" w:w="3061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163A59"/>
                <w:sz w:val="20"/>
              </w:rPr>
              <w:t>語意</w:t>
            </w:r>
          </w:p>
        </w:tc>
        <w:tc>
          <w:tcPr>
            <w:tcW w:type="dxa" w:w="3458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163A59"/>
                <w:sz w:val="20"/>
              </w:rPr>
              <w:t>使用與邊界提醒</w:t>
            </w:r>
          </w:p>
        </w:tc>
      </w:tr>
      <w:t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handoff.from_packet_ref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交接來源封包。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從哪個 packet 交過來。</w:t>
            </w:r>
          </w:p>
        </w:tc>
      </w:tr>
      <w:t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handoff.to_role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下一個要接手的角色。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例如 L1、L2、L3、L4。</w:t>
            </w:r>
          </w:p>
        </w:tc>
      </w:tr>
      <w:t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handoff.needed_action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下一步需要做什麼。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例如 review、decide、implement、merge、clarify、promote。</w:t>
            </w:r>
          </w:p>
        </w:tc>
      </w:tr>
      <w:t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handoff.reason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為什麼要交接。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一句話說清楚交接原因。</w:t>
            </w:r>
          </w:p>
        </w:tc>
      </w:tr>
      <w:t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handoff.blockers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阻塞點。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列出目前卡住的事項。</w:t>
            </w:r>
          </w:p>
        </w:tc>
      </w:tr>
    </w:tbl>
    <w:p/>
    <w:p>
      <w:pPr>
        <w:keepNext/>
        <w:spacing w:before="320" w:after="120"/>
      </w:pPr>
      <w:r>
        <w:rPr>
          <w:rFonts w:ascii="Noto Sans CJK TC" w:hAnsi="Noto Sans CJK TC" w:eastAsia="Noto Sans CJK TC"/>
          <w:b/>
          <w:color w:val="1F4E79"/>
          <w:sz w:val="28"/>
        </w:rPr>
        <w:t>5. task_packet 家族欄位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sz w:val="21"/>
        </w:rPr>
        <w:t>task_packet 的責任是把任務邊界寫清楚，尤其要把 scope、out_of_scope、acceptance_criteria、stop_conditions 鎖住，不然最容易失控。</w:t>
      </w:r>
    </w:p>
    <w:p>
      <w:pPr>
        <w:keepNext/>
        <w:spacing w:before="200" w:after="80"/>
      </w:pPr>
      <w:r>
        <w:rPr>
          <w:rFonts w:ascii="Noto Sans CJK TC" w:hAnsi="Noto Sans CJK TC" w:eastAsia="Noto Sans CJK TC"/>
          <w:b/>
          <w:color w:val="335E7E"/>
          <w:sz w:val="23"/>
        </w:rPr>
        <w:t>5.1 task_packet 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163A59"/>
                <w:sz w:val="20"/>
              </w:rPr>
              <w:t>欄位</w:t>
            </w:r>
          </w:p>
        </w:tc>
        <w:tc>
          <w:tcPr>
            <w:tcW w:type="dxa" w:w="3288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163A59"/>
                <w:sz w:val="20"/>
              </w:rPr>
              <w:t>語意</w:t>
            </w:r>
          </w:p>
        </w:tc>
        <w:tc>
          <w:tcPr>
            <w:tcW w:type="dxa" w:w="3458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163A59"/>
                <w:sz w:val="20"/>
              </w:rPr>
              <w:t>使用與邊界提醒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goal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任務目標。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寫結果，不要只寫模糊動作。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scope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任務範圍。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明確界定允許處理的內容。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out_of_scope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明確排除的範圍。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避免 scope creep。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truth_touchpoints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會碰到哪些真相層或真相文件。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非 trivial 任務非常重要。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worker_plan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執行者的最小執行計畫。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保持可做、可檢查，不要變長文。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acceptance_criteria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完成判定條件。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讓任務能有明確結束點。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stop_conditions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什麼情況下必須停下。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例如衝突、缺真相、人類決策需求、風險超標。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constraints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額外執行限制。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例如 read-only audit、不可 write-back。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expected_outputs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預期輸出。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列出應產生的檔案或結果。</w:t>
            </w:r>
          </w:p>
        </w:tc>
      </w:tr>
    </w:tbl>
    <w:p/>
    <w:p>
      <w:pPr>
        <w:keepNext/>
        <w:spacing w:before="320" w:after="120"/>
      </w:pPr>
      <w:r>
        <w:rPr>
          <w:rFonts w:ascii="Noto Sans CJK TC" w:hAnsi="Noto Sans CJK TC" w:eastAsia="Noto Sans CJK TC"/>
          <w:b/>
          <w:color w:val="1F4E79"/>
          <w:sz w:val="28"/>
        </w:rPr>
        <w:t>6. memory_packet 家族欄位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sz w:val="21"/>
        </w:rPr>
        <w:t>memory_packet 處理的是『可重用知識』，但它不是正式真相。這一類最容易犯的錯，是把 confidence 誤當權威，或把 retrieval hit 誤當 approved memory。</w:t>
      </w:r>
    </w:p>
    <w:p>
      <w:pPr>
        <w:keepNext/>
        <w:spacing w:before="200" w:after="80"/>
      </w:pPr>
      <w:r>
        <w:rPr>
          <w:rFonts w:ascii="Noto Sans CJK TC" w:hAnsi="Noto Sans CJK TC" w:eastAsia="Noto Sans CJK TC"/>
          <w:b/>
          <w:color w:val="335E7E"/>
          <w:sz w:val="23"/>
        </w:rPr>
        <w:t>6.1 memory_packet 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163A59"/>
                <w:sz w:val="20"/>
              </w:rPr>
              <w:t>欄位</w:t>
            </w:r>
          </w:p>
        </w:tc>
        <w:tc>
          <w:tcPr>
            <w:tcW w:type="dxa" w:w="3175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163A59"/>
                <w:sz w:val="20"/>
              </w:rPr>
              <w:t>語意</w:t>
            </w:r>
          </w:p>
        </w:tc>
        <w:tc>
          <w:tcPr>
            <w:tcW w:type="dxa" w:w="3458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163A59"/>
                <w:sz w:val="20"/>
              </w:rPr>
              <w:t>使用與邊界提醒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memory_kind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記憶種類。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例如 heuristic、decision_summary、resolved_pattern、tooling_note。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memory_scope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記憶作用範圍。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例如 session_local、repo_local、shadowmas_global。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summary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人類可讀摘要。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短、清楚、可掃描。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structured_payload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機器可用負載。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偏結構化，不要塞滿長篇敘述。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invalidation_triggers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失效觸發條件。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比 stale_on 更精確，要求可追與可檢查。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confidence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可重用的信心分數。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不是權威，不等於已批准真相。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promotion_candidate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是否值得升格。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目前方向：yes / no。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promotion_notes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為何適合或不適合升格。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補充升格脈絡。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memory_status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記憶封包生命週期狀態。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方向如 captured、candidate、approved_shared、stale、superseded。</w:t>
            </w:r>
          </w:p>
        </w:tc>
      </w:tr>
    </w:tbl>
    <w:p/>
    <w:p>
      <w:pPr>
        <w:keepNext/>
        <w:spacing w:before="320" w:after="120"/>
      </w:pPr>
      <w:r>
        <w:rPr>
          <w:rFonts w:ascii="Noto Sans CJK TC" w:hAnsi="Noto Sans CJK TC" w:eastAsia="Noto Sans CJK TC"/>
          <w:b/>
          <w:color w:val="1F4E79"/>
          <w:sz w:val="28"/>
        </w:rPr>
        <w:t>7. review_packet 家族欄位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sz w:val="21"/>
        </w:rPr>
        <w:t>review_packet 的設計重點不是寫滿，而是讓 reviewer 快速完成『最小必要閱讀』。所以 must_read、must_compare、do_not_need_to_read 很重要。</w:t>
      </w:r>
    </w:p>
    <w:p>
      <w:pPr>
        <w:keepNext/>
        <w:spacing w:before="200" w:after="80"/>
      </w:pPr>
      <w:r>
        <w:rPr>
          <w:rFonts w:ascii="Noto Sans CJK TC" w:hAnsi="Noto Sans CJK TC" w:eastAsia="Noto Sans CJK TC"/>
          <w:b/>
          <w:color w:val="335E7E"/>
          <w:sz w:val="23"/>
        </w:rPr>
        <w:t>7.1 review_packet 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608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163A59"/>
                <w:sz w:val="20"/>
              </w:rPr>
              <w:t>欄位</w:t>
            </w:r>
          </w:p>
        </w:tc>
        <w:tc>
          <w:tcPr>
            <w:tcW w:type="dxa" w:w="3005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163A59"/>
                <w:sz w:val="20"/>
              </w:rPr>
              <w:t>語意</w:t>
            </w:r>
          </w:p>
        </w:tc>
        <w:tc>
          <w:tcPr>
            <w:tcW w:type="dxa" w:w="3402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163A59"/>
                <w:sz w:val="20"/>
              </w:rPr>
              <w:t>使用與邊界提醒</w:t>
            </w:r>
          </w:p>
        </w:tc>
      </w:tr>
      <w:t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decision_needed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這次 review 需要哪個決策。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要讓人一眼知道在決定什麼。</w:t>
            </w:r>
          </w:p>
        </w:tc>
      </w:tr>
      <w:t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why_you_are_seeing_this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為何會看到這份 review。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交代觸發原因。</w:t>
            </w:r>
          </w:p>
        </w:tc>
      </w:tr>
      <w:t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minimal_checks.must_read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最低限度必讀。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控制閱讀成本，不讓 review 爆量。</w:t>
            </w:r>
          </w:p>
        </w:tc>
      </w:tr>
      <w:t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must_compare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必須比較的對象。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進入決策前要對照的文件或概念。</w:t>
            </w:r>
          </w:p>
        </w:tc>
      </w:tr>
      <w:t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do_not_need_to_read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可以不用讀的東西。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幫 reviewer 節省注意力。</w:t>
            </w:r>
          </w:p>
        </w:tc>
      </w:tr>
      <w:t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change_summary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變更摘要。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短而精準。</w:t>
            </w:r>
          </w:p>
        </w:tc>
      </w:tr>
      <w:t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risk_summary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風險摘要。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點出風險輪廓。</w:t>
            </w:r>
          </w:p>
        </w:tc>
      </w:tr>
      <w:t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recommendation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目前建議。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例如 approve、reject、revise、defer、escalate。</w:t>
            </w:r>
          </w:p>
        </w:tc>
      </w:tr>
      <w:t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F4E79"/>
                <w:sz w:val="19"/>
              </w:rPr>
              <w:t>review_status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review 生命週期狀態。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方向如 ready_for_human、under_review、approved、needs_revision、closed。</w:t>
            </w:r>
          </w:p>
        </w:tc>
      </w:tr>
    </w:tbl>
    <w:p/>
    <w:p>
      <w:pPr>
        <w:keepNext/>
        <w:spacing w:before="320" w:after="120"/>
      </w:pPr>
      <w:r>
        <w:rPr>
          <w:rFonts w:ascii="Noto Sans CJK TC" w:hAnsi="Noto Sans CJK TC" w:eastAsia="Noto Sans CJK TC"/>
          <w:b/>
          <w:color w:val="1F4E79"/>
          <w:sz w:val="28"/>
        </w:rPr>
        <w:t>8. 最常見的混淆點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sz w:val="21"/>
        </w:rPr>
        <w:t>下面這些混淆如果不先釘死，後面 packet 會長得越來越像、卻越來越不可信。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4986"/>
        <w:gridCol w:w="4986"/>
      </w:tblGrid>
      <w:tr>
        <w:trPr>
          <w:tblHeader w:val="true"/>
        </w:trPr>
        <w:tc>
          <w:tcPr>
            <w:tcW w:type="dxa" w:w="3005"/>
            <w:shd w:fill="FDEBD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7A3E00"/>
                <w:sz w:val="20"/>
              </w:rPr>
              <w:t>不要混淆</w:t>
            </w:r>
          </w:p>
        </w:tc>
        <w:tc>
          <w:tcPr>
            <w:tcW w:type="dxa" w:w="6009"/>
            <w:shd w:fill="FDEBD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7A3E00"/>
                <w:sz w:val="20"/>
              </w:rPr>
              <w:t>說明</w:t>
            </w:r>
          </w:p>
        </w:tc>
      </w:tr>
      <w:t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/>
                <w:color w:val="7A3E00"/>
                <w:sz w:val="20"/>
              </w:rPr>
              <w:t>owner vs writable_by</w:t>
            </w:r>
          </w:p>
        </w:tc>
        <w:tc>
          <w:tcPr>
            <w:tcW w:type="dxa" w:w="60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owner 是穩定責任；writable_by 是狀態控制下的可寫權。</w:t>
            </w:r>
          </w:p>
        </w:tc>
      </w:tr>
      <w:t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/>
                <w:color w:val="7A3E00"/>
                <w:sz w:val="20"/>
              </w:rPr>
              <w:t>confidence vs truth authority</w:t>
            </w:r>
          </w:p>
        </w:tc>
        <w:tc>
          <w:tcPr>
            <w:tcW w:type="dxa" w:w="60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confidence 只是可重用程度，不是正式真相權威。</w:t>
            </w:r>
          </w:p>
        </w:tc>
      </w:tr>
      <w:t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/>
                <w:color w:val="7A3E00"/>
                <w:sz w:val="20"/>
              </w:rPr>
              <w:t>source_ref vs approval</w:t>
            </w:r>
          </w:p>
        </w:tc>
        <w:tc>
          <w:tcPr>
            <w:tcW w:type="dxa" w:w="60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來源被引用，不代表已批准。</w:t>
            </w:r>
          </w:p>
        </w:tc>
      </w:tr>
      <w:t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/>
                <w:color w:val="7A3E00"/>
                <w:sz w:val="20"/>
              </w:rPr>
              <w:t>artifact_ref vs promotion</w:t>
            </w:r>
          </w:p>
        </w:tc>
        <w:tc>
          <w:tcPr>
            <w:tcW w:type="dxa" w:w="60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產物被引用，不代表已升格。</w:t>
            </w:r>
          </w:p>
        </w:tc>
      </w:tr>
      <w:t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/>
                <w:color w:val="7A3E00"/>
                <w:sz w:val="20"/>
              </w:rPr>
              <w:t>summary vs structured_payload</w:t>
            </w:r>
          </w:p>
        </w:tc>
        <w:tc>
          <w:tcPr>
            <w:tcW w:type="dxa" w:w="60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summary 服務人類掃描；structured_payload 給機器用。</w:t>
            </w:r>
          </w:p>
        </w:tc>
      </w:tr>
      <w:t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/>
                <w:color w:val="7A3E00"/>
                <w:sz w:val="20"/>
              </w:rPr>
              <w:t>status vs governance tier</w:t>
            </w:r>
          </w:p>
        </w:tc>
        <w:tc>
          <w:tcPr>
            <w:tcW w:type="dxa" w:w="60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生命週期狀態不等於 T-layer 權重。</w:t>
            </w:r>
          </w:p>
        </w:tc>
      </w:tr>
      <w:t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/>
                <w:color w:val="7A3E00"/>
                <w:sz w:val="20"/>
              </w:rPr>
              <w:t>retrieval hit vs approved memory</w:t>
            </w:r>
          </w:p>
        </w:tc>
        <w:tc>
          <w:tcPr>
            <w:tcW w:type="dxa" w:w="60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查得到不代表可當共享記憶。</w:t>
            </w:r>
          </w:p>
        </w:tc>
      </w:tr>
      <w:t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/>
                <w:color w:val="7A3E00"/>
                <w:sz w:val="20"/>
              </w:rPr>
              <w:t>approved shared memory vs canonical truth</w:t>
            </w:r>
          </w:p>
        </w:tc>
        <w:tc>
          <w:tcPr>
            <w:tcW w:type="dxa" w:w="60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T3 不是 T2。</w:t>
            </w:r>
          </w:p>
        </w:tc>
      </w:tr>
    </w:tbl>
    <w:p/>
    <w:p>
      <w:pPr>
        <w:keepNext/>
        <w:spacing w:before="320" w:after="120"/>
      </w:pPr>
      <w:r>
        <w:rPr>
          <w:rFonts w:ascii="Noto Sans CJK TC" w:hAnsi="Noto Sans CJK TC" w:eastAsia="Noto Sans CJK TC"/>
          <w:b/>
          <w:color w:val="1F4E79"/>
          <w:sz w:val="28"/>
        </w:rPr>
        <w:t>9. 各家族最低必填欄位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sz w:val="21"/>
        </w:rPr>
        <w:t>這一段用來幫你快速判斷：一個 packet 目前到底是不是『至少能站住腳』。它不是最終 schema，但足夠做第一輪欄位收斂。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4986"/>
        <w:gridCol w:w="4986"/>
      </w:tblGrid>
      <w:tr>
        <w:trPr>
          <w:tblHeader w:val="true"/>
        </w:trPr>
        <w:tc>
          <w:tcPr>
            <w:tcW w:type="dxa" w:w="2438"/>
            <w:shd w:fill="E8F6F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145A32"/>
                <w:sz w:val="20"/>
              </w:rPr>
              <w:t>Packet 家族</w:t>
            </w:r>
          </w:p>
        </w:tc>
        <w:tc>
          <w:tcPr>
            <w:tcW w:type="dxa" w:w="6576"/>
            <w:shd w:fill="E8F6F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145A32"/>
                <w:sz w:val="20"/>
              </w:rPr>
              <w:t>最低必填欄位</w:t>
            </w:r>
          </w:p>
        </w:tc>
      </w:tr>
      <w:t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45A32"/>
                <w:sz w:val="19"/>
              </w:rPr>
              <w:t>task_packet</w:t>
            </w:r>
          </w:p>
        </w:tc>
        <w:tc>
          <w:tcPr>
            <w:tcW w:type="dxa" w:w="6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packet_uid, packet_type, schema_version, task_id, created_at, created_by, owner, supervision_mode, risk, status, goal, scope, acceptance_criteria, stop_conditions</w:t>
            </w:r>
          </w:p>
        </w:tc>
      </w:tr>
      <w:t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45A32"/>
                <w:sz w:val="19"/>
              </w:rPr>
              <w:t>memory_packet</w:t>
            </w:r>
          </w:p>
        </w:tc>
        <w:tc>
          <w:tcPr>
            <w:tcW w:type="dxa" w:w="6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packet_uid, packet_type, schema_version, created_at, created_by, owner, status, memory_kind, memory_scope, summary, structured_payload, source_refs, invalidation_triggers, confidence, promotion_candidate</w:t>
            </w:r>
          </w:p>
        </w:tc>
      </w:tr>
      <w:t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Mono CJK TC" w:hAnsi="Noto Sans Mono CJK TC" w:eastAsia="Noto Sans Mono CJK TC"/>
                <w:b/>
                <w:color w:val="145A32"/>
                <w:sz w:val="19"/>
              </w:rPr>
              <w:t>review_packet</w:t>
            </w:r>
          </w:p>
        </w:tc>
        <w:tc>
          <w:tcPr>
            <w:tcW w:type="dxa" w:w="6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packet_uid, packet_type, schema_version, created_at, created_by, owner, status, decision_needed, why_you_are_seeing_this, change_summary, risk_summary, recommendation</w:t>
            </w:r>
          </w:p>
        </w:tc>
      </w:tr>
    </w:tbl>
    <w:p/>
    <w:p>
      <w:pPr>
        <w:keepNext/>
        <w:spacing w:before="320" w:after="120"/>
      </w:pPr>
      <w:r>
        <w:rPr>
          <w:rFonts w:ascii="Noto Sans CJK TC" w:hAnsi="Noto Sans CJK TC" w:eastAsia="Noto Sans CJK TC"/>
          <w:b/>
          <w:color w:val="1F4E79"/>
          <w:sz w:val="28"/>
        </w:rPr>
        <w:t>10. 給後續維護者的實務提醒</w:t>
      </w:r>
    </w:p>
    <w:p>
      <w:pPr>
        <w:spacing w:after="120" w:line="300" w:lineRule="auto"/>
        <w:ind w:left="255" w:hanging="198"/>
      </w:pPr>
      <w:r>
        <w:rPr>
          <w:rFonts w:ascii="Noto Sans CJK TC" w:hAnsi="Noto Sans CJK TC" w:eastAsia="Noto Sans CJK TC"/>
          <w:b/>
          <w:color w:val="1F4E79"/>
          <w:sz w:val="21"/>
        </w:rPr>
        <w:t xml:space="preserve">• </w:t>
      </w:r>
      <w:r>
        <w:rPr>
          <w:rFonts w:ascii="Noto Sans CJK TC" w:hAnsi="Noto Sans CJK TC" w:eastAsia="Noto Sans CJK TC"/>
          <w:sz w:val="21"/>
        </w:rPr>
        <w:t>欄位名稱先穩，再談 schema 細節；欄位字典一漂，後面 YAML 與 validator 會一起飄。</w:t>
      </w:r>
    </w:p>
    <w:p>
      <w:pPr>
        <w:spacing w:after="120" w:line="300" w:lineRule="auto"/>
        <w:ind w:left="255" w:hanging="198"/>
      </w:pPr>
      <w:r>
        <w:rPr>
          <w:rFonts w:ascii="Noto Sans CJK TC" w:hAnsi="Noto Sans CJK TC" w:eastAsia="Noto Sans CJK TC"/>
          <w:b/>
          <w:color w:val="1F4E79"/>
          <w:sz w:val="21"/>
        </w:rPr>
        <w:t xml:space="preserve">• </w:t>
      </w:r>
      <w:r>
        <w:rPr>
          <w:rFonts w:ascii="Noto Sans CJK TC" w:hAnsi="Noto Sans CJK TC" w:eastAsia="Noto Sans CJK TC"/>
          <w:sz w:val="21"/>
        </w:rPr>
        <w:t>共享欄位只放真正共享且語意穩定的欄位；不要為了整齊硬做共享。</w:t>
      </w:r>
    </w:p>
    <w:p>
      <w:pPr>
        <w:spacing w:after="120" w:line="300" w:lineRule="auto"/>
        <w:ind w:left="255" w:hanging="198"/>
      </w:pPr>
      <w:r>
        <w:rPr>
          <w:rFonts w:ascii="Noto Sans CJK TC" w:hAnsi="Noto Sans CJK TC" w:eastAsia="Noto Sans CJK TC"/>
          <w:b/>
          <w:color w:val="1F4E79"/>
          <w:sz w:val="21"/>
        </w:rPr>
        <w:t xml:space="preserve">• </w:t>
      </w:r>
      <w:r>
        <w:rPr>
          <w:rFonts w:ascii="Noto Sans CJK TC" w:hAnsi="Noto Sans CJK TC" w:eastAsia="Noto Sans CJK TC"/>
          <w:sz w:val="21"/>
        </w:rPr>
        <w:t>任何 confidence、relevance、retrieval 命中都不能直接升格成 truth authority。</w:t>
      </w:r>
    </w:p>
    <w:p>
      <w:pPr>
        <w:spacing w:after="120" w:line="300" w:lineRule="auto"/>
        <w:ind w:left="255" w:hanging="198"/>
      </w:pPr>
      <w:r>
        <w:rPr>
          <w:rFonts w:ascii="Noto Sans CJK TC" w:hAnsi="Noto Sans CJK TC" w:eastAsia="Noto Sans CJK TC"/>
          <w:b/>
          <w:color w:val="1F4E79"/>
          <w:sz w:val="21"/>
        </w:rPr>
        <w:t xml:space="preserve">• </w:t>
      </w:r>
      <w:r>
        <w:rPr>
          <w:rFonts w:ascii="Noto Sans CJK TC" w:hAnsi="Noto Sans CJK TC" w:eastAsia="Noto Sans CJK TC"/>
          <w:sz w:val="21"/>
        </w:rPr>
        <w:t>若英文 formal 欄位字典改動了高價值語意，這份中文 companion 也要同步修正。</w:t>
      </w:r>
    </w:p>
    <w:p>
      <w:pPr>
        <w:spacing w:after="120" w:line="300" w:lineRule="auto"/>
        <w:ind w:left="255" w:hanging="198"/>
      </w:pPr>
      <w:r>
        <w:rPr>
          <w:rFonts w:ascii="Noto Sans CJK TC" w:hAnsi="Noto Sans CJK TC" w:eastAsia="Noto Sans CJK TC"/>
          <w:b/>
          <w:color w:val="1F4E79"/>
          <w:sz w:val="21"/>
        </w:rPr>
        <w:t xml:space="preserve">• </w:t>
      </w:r>
      <w:r>
        <w:rPr>
          <w:rFonts w:ascii="Noto Sans CJK TC" w:hAnsi="Noto Sans CJK TC" w:eastAsia="Noto Sans CJK TC"/>
          <w:sz w:val="21"/>
        </w:rPr>
        <w:t>後續若新增 packet family，先補英文 formal，再補這份中文解讀。</w:t>
      </w:r>
    </w:p>
    <w:p/>
    <w:p>
      <w:pPr>
        <w:spacing w:after="80" w:line="276" w:lineRule="auto"/>
      </w:pPr>
      <w:r>
        <w:rPr>
          <w:rFonts w:ascii="Noto Sans CJK TC" w:hAnsi="Noto Sans CJK TC" w:eastAsia="Noto Sans CJK TC"/>
          <w:color w:val="5B6B7A"/>
          <w:sz w:val="18"/>
        </w:rPr>
        <w:t>建議存放位置：06_human_docs/zh-TW/  ·  文件定位：高可讀中文 companion  ·  canonical source：英文 formal 欄位字典</w:t>
      </w:r>
    </w:p>
    <w:sectPr w:rsidR="00FC693F" w:rsidRPr="0006063C" w:rsidSect="00034616">
      <w:pgSz w:w="12240" w:h="15840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