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SCZN3 / The Smart Target™</w:t>
      </w:r>
    </w:p>
    <w:p>
      <w:pPr>
        <w:pStyle w:val="Heading1"/>
      </w:pPr>
      <w:r>
        <w:t>Developer Hand-Off Package — Part 2 (Sections 11–20)</w:t>
      </w:r>
    </w:p>
    <w:p>
      <w:pPr>
        <w:pStyle w:val="Heading2"/>
      </w:pPr>
      <w:r>
        <w:t>Overview</w:t>
      </w:r>
    </w:p>
    <w:p/>
    <w:p>
      <w:r>
        <w:t>Part 2 extends the core zeroing engine (Part 1) into the upper-layer platform architecture.</w:t>
      </w:r>
    </w:p>
    <w:p>
      <w:r>
        <w:t>This includes the Owner/Admin dashboard, manufacturer tools, advanced scoring engine,</w:t>
      </w:r>
    </w:p>
    <w:p>
      <w:r>
        <w:t xml:space="preserve">competition systems, partner APIs, billing infrastructure, deployment blueprint, </w:t>
      </w:r>
    </w:p>
    <w:p>
      <w:r>
        <w:t>security model, contribution standards, and future technical expansion pathways.</w:t>
      </w:r>
    </w:p>
    <w:p/>
    <w:p>
      <w:pPr>
        <w:pStyle w:val="Heading2"/>
      </w:pPr>
      <w:r>
        <w:t>SECTION 11 — Owner/Admin Dashboard Architecture</w:t>
      </w:r>
    </w:p>
    <w:p>
      <w:r>
        <w:t xml:space="preserve">Defines routes, UI layout, access levels, account roles, analytics views, </w:t>
      </w:r>
    </w:p>
    <w:p>
      <w:r>
        <w:t xml:space="preserve">QRC inventory views, upload/card history, and administrative read/write endpoints. </w:t>
      </w:r>
    </w:p>
    <w:p>
      <w:r>
        <w:t>Includes table queries and structure for dashboard data retrieval.</w:t>
      </w:r>
    </w:p>
    <w:p>
      <w:pPr>
        <w:pStyle w:val="Heading2"/>
      </w:pPr>
      <w:r>
        <w:t>SECTION 12 — Range &amp; Manufacturer Tools Architecture</w:t>
      </w:r>
    </w:p>
    <w:p>
      <w:r>
        <w:t xml:space="preserve">QRC batch creation, issuance tracking, activity logs, usage heatmaps, </w:t>
      </w:r>
    </w:p>
    <w:p>
      <w:r>
        <w:t xml:space="preserve">API endpoints for scanning and verifying codes, UI tooling for print runs, and </w:t>
      </w:r>
    </w:p>
    <w:p>
      <w:r>
        <w:t>batch metadata linking to QRC table. Includes manufacturer-side interfaces.</w:t>
      </w:r>
    </w:p>
    <w:p>
      <w:pPr>
        <w:pStyle w:val="Heading2"/>
      </w:pPr>
      <w:r>
        <w:t>SECTION 13 — Advanced Scoring Engine (Technical Foundation)</w:t>
      </w:r>
    </w:p>
    <w:p>
      <w:r>
        <w:t>Base logic for non-zeroing scoring: handgun/rifle ring scoring, silhouette zone scoring,</w:t>
      </w:r>
    </w:p>
    <w:p>
      <w:r>
        <w:t>time/cadence scoring, event structures, raw hit detection, multi-zone scoring maps, scoring pipeline,</w:t>
      </w:r>
    </w:p>
    <w:p>
      <w:r>
        <w:t>and scoring card generator architecture.</w:t>
      </w:r>
    </w:p>
    <w:p>
      <w:pPr>
        <w:pStyle w:val="Heading2"/>
      </w:pPr>
      <w:r>
        <w:t>SECTION 14 — Competition Board Technical Architecture</w:t>
      </w:r>
    </w:p>
    <w:p>
      <w:r>
        <w:t>Leaderboard data structures, ranking algorithms, caching rules, entry verification,</w:t>
      </w:r>
    </w:p>
    <w:p>
      <w:r>
        <w:t xml:space="preserve">score normalization, pagination patterns, competition season metadata tables, </w:t>
      </w:r>
    </w:p>
    <w:p>
      <w:r>
        <w:t>and competition card generation pipeline.</w:t>
      </w:r>
    </w:p>
    <w:p>
      <w:pPr>
        <w:pStyle w:val="Heading2"/>
      </w:pPr>
      <w:r>
        <w:t>SECTION 15 — Partner Integration Layer (API / SDK Specification)</w:t>
      </w:r>
    </w:p>
    <w:p>
      <w:r>
        <w:t xml:space="preserve">External API contract for partner scoring uploads, target metadata submission, </w:t>
      </w:r>
    </w:p>
    <w:p>
      <w:r>
        <w:t xml:space="preserve">session retrieval, and Smart Score™ returns. Defines SDK client architecture </w:t>
      </w:r>
    </w:p>
    <w:p>
      <w:r>
        <w:t>(JS/Python), versioning rules, API key issuance, and webhook specification.</w:t>
      </w:r>
    </w:p>
    <w:p>
      <w:pPr>
        <w:pStyle w:val="Heading2"/>
      </w:pPr>
      <w:r>
        <w:t>SECTION 16 — Billing Infrastructure (Technical Only)</w:t>
      </w:r>
    </w:p>
    <w:p>
      <w:r>
        <w:t>QRC usage counting engine, billing table structure, cron-based reconciliation jobs,</w:t>
      </w:r>
    </w:p>
    <w:p>
      <w:r>
        <w:t xml:space="preserve">daily/weekly batch summaries, integrity hooks, hashed transaction logs, </w:t>
      </w:r>
    </w:p>
    <w:p>
      <w:r>
        <w:t>and audit views for usage verification.</w:t>
      </w:r>
    </w:p>
    <w:p>
      <w:pPr>
        <w:pStyle w:val="Heading2"/>
      </w:pPr>
      <w:r>
        <w:t>SECTION 17 — Production Cloud Deployment Blueprint</w:t>
      </w:r>
    </w:p>
    <w:p>
      <w:r>
        <w:t xml:space="preserve">System diagram: front-end CDN, API service, worker cluster, Redis queue, </w:t>
      </w:r>
    </w:p>
    <w:p>
      <w:r>
        <w:t xml:space="preserve">PostgreSQL, S3 storage, monitoring/alerting, horizontal scaling rules, </w:t>
      </w:r>
    </w:p>
    <w:p>
      <w:r>
        <w:t>backup/failover policies, and storage lifecycle management.</w:t>
      </w:r>
    </w:p>
    <w:p>
      <w:pPr>
        <w:pStyle w:val="Heading2"/>
      </w:pPr>
      <w:r>
        <w:t>SECTION 18 — Security, Access Control &amp; Governance</w:t>
      </w:r>
    </w:p>
    <w:p>
      <w:r>
        <w:t xml:space="preserve">RBAC model, token-based access, JWT structure, partner API key system, </w:t>
      </w:r>
    </w:p>
    <w:p>
      <w:r>
        <w:t xml:space="preserve">rate limiting, encryption standards, secrets handling, logging rules, </w:t>
      </w:r>
    </w:p>
    <w:p>
      <w:r>
        <w:t>and developer access tiering for production data.</w:t>
      </w:r>
    </w:p>
    <w:p>
      <w:pPr>
        <w:pStyle w:val="Heading2"/>
      </w:pPr>
      <w:r>
        <w:t>SECTION 19 — Developer Contribution Standards</w:t>
      </w:r>
    </w:p>
    <w:p>
      <w:r>
        <w:t xml:space="preserve">Branching rules, PR review structure, code style, documentation expectations, </w:t>
      </w:r>
    </w:p>
    <w:p>
      <w:r>
        <w:t xml:space="preserve">test requirements, semantic versioning, backward compatibility rules, </w:t>
      </w:r>
    </w:p>
    <w:p>
      <w:r>
        <w:t>and release cycle guidance.</w:t>
      </w:r>
    </w:p>
    <w:p>
      <w:pPr>
        <w:pStyle w:val="Heading2"/>
      </w:pPr>
      <w:r>
        <w:t>SECTION 20 — Technical Expansion Pathways (v2+)</w:t>
      </w:r>
    </w:p>
    <w:p>
      <w:r>
        <w:t xml:space="preserve">Future modules: multi-target sessions, advanced training modules, </w:t>
      </w:r>
    </w:p>
    <w:p>
      <w:r>
        <w:t xml:space="preserve">cross-device sync, mobile AR-assisted scoring, UEGO enhancements, </w:t>
      </w:r>
    </w:p>
    <w:p>
      <w:r>
        <w:t>target libraries, extensible plugin system, and deprecation pathway guidelines.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