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Health Track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Glossary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Version 1.0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Revision History</w:t>
      </w:r>
    </w:p>
    <w:tbl>
      <w:tblPr/>
      <w:tblGrid>
        <w:gridCol w:w="2304"/>
        <w:gridCol w:w="1152"/>
        <w:gridCol w:w="3744"/>
        <w:gridCol w:w="2304"/>
      </w:tblGrid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Date</w:t>
            </w: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Version</w:t>
            </w:r>
          </w:p>
        </w:tc>
        <w:tc>
          <w:tcPr>
            <w:tcW w:w="37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Description</w:t>
            </w:r>
          </w:p>
        </w:tc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Author</w:t>
            </w:r>
          </w:p>
        </w:tc>
      </w:tr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03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2020</w:t>
            </w: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1.0</w:t>
            </w:r>
          </w:p>
        </w:tc>
        <w:tc>
          <w:tcPr>
            <w:tcW w:w="37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Deliverable 1</w:t>
            </w:r>
          </w:p>
        </w:tc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Sabou Cezara</w:t>
            </w:r>
          </w:p>
        </w:tc>
      </w:tr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Table of Contents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Glossary</w:t>
      </w:r>
    </w:p>
    <w:p>
      <w:pPr>
        <w:keepNext w:val="true"/>
        <w:numPr>
          <w:ilvl w:val="0"/>
          <w:numId w:val="19"/>
        </w:numPr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Introduction</w:t>
      </w:r>
    </w:p>
    <w:p>
      <w:pPr>
        <w:tabs>
          <w:tab w:val="left" w:pos="540" w:leader="none"/>
          <w:tab w:val="left" w:pos="1260" w:leader="none"/>
        </w:tabs>
        <w:spacing w:before="0" w:after="120" w:line="240"/>
        <w:ind w:right="0" w:left="0" w:firstLine="0"/>
        <w:jc w:val="left"/>
        <w:rPr>
          <w:rFonts w:ascii="Calibri" w:hAnsi="Calibri" w:cs="Calibri" w:eastAsia="Calibri"/>
          <w:i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C0504D"/>
          <w:spacing w:val="0"/>
          <w:position w:val="0"/>
          <w:sz w:val="22"/>
          <w:shd w:fill="auto" w:val="clear"/>
        </w:rPr>
        <w:t xml:space="preserve">This glossary document contains information regarding terms that can be found in the Health Track application and also in its documentation.</w:t>
      </w:r>
    </w:p>
    <w:p>
      <w:pPr>
        <w:tabs>
          <w:tab w:val="left" w:pos="540" w:leader="none"/>
          <w:tab w:val="left" w:pos="1260" w:leader="none"/>
        </w:tabs>
        <w:spacing w:before="0" w:after="120" w:line="240"/>
        <w:ind w:right="0" w:left="0" w:firstLine="0"/>
        <w:jc w:val="left"/>
        <w:rPr>
          <w:rFonts w:ascii="Calibri" w:hAnsi="Calibri" w:cs="Calibri" w:eastAsia="Calibri"/>
          <w:i/>
          <w:color w:val="C0504D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21"/>
        </w:numPr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Glossary</w:t>
      </w:r>
    </w:p>
    <w:p>
      <w:pPr>
        <w:tabs>
          <w:tab w:val="left" w:pos="540" w:leader="none"/>
          <w:tab w:val="left" w:pos="1260" w:leader="none"/>
        </w:tabs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C0504D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C0504D"/>
          <w:spacing w:val="0"/>
          <w:position w:val="0"/>
          <w:sz w:val="20"/>
          <w:u w:val="single"/>
          <w:shd w:fill="auto" w:val="clear"/>
        </w:rPr>
        <w:t xml:space="preserve"> [Present the noteworthy terms and their definition, format and validation rules if appropriate.]</w:t>
      </w:r>
    </w:p>
    <w:tbl>
      <w:tblPr/>
      <w:tblGrid>
        <w:gridCol w:w="2258"/>
        <w:gridCol w:w="3232"/>
        <w:gridCol w:w="1890"/>
        <w:gridCol w:w="3420"/>
      </w:tblGrid>
      <w:tr>
        <w:trPr>
          <w:trHeight w:val="418" w:hRule="auto"/>
          <w:jc w:val="left"/>
        </w:trPr>
        <w:tc>
          <w:tcPr>
            <w:tcW w:w="225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000000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hanging="72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Term</w:t>
            </w:r>
          </w:p>
        </w:tc>
        <w:tc>
          <w:tcPr>
            <w:tcW w:w="323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000000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hanging="72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Definition and Information</w:t>
            </w:r>
          </w:p>
        </w:tc>
        <w:tc>
          <w:tcPr>
            <w:tcW w:w="18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000000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hanging="72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Format</w:t>
            </w:r>
          </w:p>
        </w:tc>
        <w:tc>
          <w:tcPr>
            <w:tcW w:w="34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000000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hanging="72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Validation Rules</w:t>
            </w:r>
          </w:p>
        </w:tc>
      </w:tr>
      <w:tr>
        <w:trPr>
          <w:trHeight w:val="976" w:hRule="auto"/>
          <w:jc w:val="left"/>
        </w:trPr>
        <w:tc>
          <w:tcPr>
            <w:tcW w:w="225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CRUD</w:t>
            </w:r>
          </w:p>
        </w:tc>
        <w:tc>
          <w:tcPr>
            <w:tcW w:w="323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Create, Read, Update, Delete operations.</w:t>
            </w:r>
          </w:p>
        </w:tc>
        <w:tc>
          <w:tcPr>
            <w:tcW w:w="18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left" w:pos="540" w:leader="none"/>
                <w:tab w:val="left" w:pos="1260" w:leader="none"/>
              </w:tabs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976" w:hRule="auto"/>
          <w:jc w:val="left"/>
        </w:trPr>
        <w:tc>
          <w:tcPr>
            <w:tcW w:w="225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Service</w:t>
            </w:r>
          </w:p>
        </w:tc>
        <w:tc>
          <w:tcPr>
            <w:tcW w:w="323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Defines its set of available operations from the perspective of interfacing client layers. It encapsulates the business logic of the application.</w:t>
            </w:r>
          </w:p>
        </w:tc>
        <w:tc>
          <w:tcPr>
            <w:tcW w:w="18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76" w:hRule="auto"/>
          <w:jc w:val="left"/>
        </w:trPr>
        <w:tc>
          <w:tcPr>
            <w:tcW w:w="225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Repository</w:t>
            </w:r>
          </w:p>
        </w:tc>
        <w:tc>
          <w:tcPr>
            <w:tcW w:w="323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 an interface or a class that encapsulates the logic required to access a database table.</w:t>
            </w:r>
          </w:p>
        </w:tc>
        <w:tc>
          <w:tcPr>
            <w:tcW w:w="18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Lines w:val="true"/>
        <w:spacing w:before="0" w:after="120" w:line="240"/>
        <w:ind w:right="0" w:left="720" w:hanging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9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