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42DB" w14:textId="77777777" w:rsidR="00F63993" w:rsidRPr="00F63993" w:rsidRDefault="00F63993" w:rsidP="00F63993">
      <w:pPr>
        <w:shd w:val="clear" w:color="auto" w:fill="FFFFFF"/>
        <w:spacing w:after="0" w:line="240" w:lineRule="auto"/>
        <w:textAlignment w:val="baseline"/>
        <w:rPr>
          <w:rFonts w:ascii="Oracle Sans" w:eastAsia="Times New Roman" w:hAnsi="Oracle Sans" w:cs="Times New Roman"/>
          <w:color w:val="555A62"/>
          <w:sz w:val="18"/>
          <w:szCs w:val="18"/>
          <w:lang w:val="en-GB" w:eastAsia="nl-NL"/>
        </w:rPr>
      </w:pPr>
      <w:r w:rsidRPr="00F63993">
        <w:rPr>
          <w:rFonts w:ascii="Oracle Sans" w:eastAsia="Times New Roman" w:hAnsi="Oracle Sans" w:cs="Times New Roman"/>
          <w:color w:val="555A62"/>
          <w:sz w:val="18"/>
          <w:szCs w:val="18"/>
          <w:lang w:val="en-GB" w:eastAsia="nl-NL"/>
        </w:rPr>
        <w:t>I think your confusion is between "Data Guard" - the "free", E.E. option - and "</w:t>
      </w:r>
      <w:r w:rsidRPr="00F63993">
        <w:rPr>
          <w:rFonts w:ascii="Oracle Sans" w:eastAsia="Times New Roman" w:hAnsi="Oracle Sans" w:cs="Times New Roman"/>
          <w:b/>
          <w:bCs/>
          <w:i/>
          <w:iCs/>
          <w:color w:val="555A62"/>
          <w:sz w:val="18"/>
          <w:szCs w:val="18"/>
          <w:bdr w:val="none" w:sz="0" w:space="0" w:color="auto" w:frame="1"/>
          <w:lang w:val="en-GB" w:eastAsia="nl-NL"/>
        </w:rPr>
        <w:t>Active</w:t>
      </w:r>
      <w:r w:rsidRPr="00F63993">
        <w:rPr>
          <w:rFonts w:ascii="inherit" w:eastAsia="Times New Roman" w:hAnsi="inherit" w:cs="Times New Roman"/>
          <w:i/>
          <w:iCs/>
          <w:color w:val="555A62"/>
          <w:sz w:val="18"/>
          <w:szCs w:val="18"/>
          <w:bdr w:val="none" w:sz="0" w:space="0" w:color="auto" w:frame="1"/>
          <w:lang w:val="en-GB" w:eastAsia="nl-NL"/>
        </w:rPr>
        <w:t> </w:t>
      </w:r>
      <w:r w:rsidRPr="00F63993">
        <w:rPr>
          <w:rFonts w:ascii="Oracle Sans" w:eastAsia="Times New Roman" w:hAnsi="Oracle Sans" w:cs="Times New Roman"/>
          <w:color w:val="555A62"/>
          <w:sz w:val="18"/>
          <w:szCs w:val="18"/>
          <w:lang w:val="en-GB" w:eastAsia="nl-NL"/>
        </w:rPr>
        <w:t>Data Guard" - the one you pay [extra] for.</w:t>
      </w:r>
    </w:p>
    <w:p w14:paraId="34CEA300" w14:textId="77777777" w:rsidR="00F63993" w:rsidRPr="00F63993" w:rsidRDefault="00F63993" w:rsidP="00F63993">
      <w:pPr>
        <w:numPr>
          <w:ilvl w:val="0"/>
          <w:numId w:val="1"/>
        </w:numPr>
        <w:shd w:val="clear" w:color="auto" w:fill="FFFFFF"/>
        <w:spacing w:after="0" w:line="240" w:lineRule="auto"/>
        <w:ind w:left="1200"/>
        <w:textAlignment w:val="baseline"/>
        <w:rPr>
          <w:rFonts w:ascii="inherit" w:eastAsia="Times New Roman" w:hAnsi="inherit" w:cs="Times New Roman"/>
          <w:color w:val="555A62"/>
          <w:sz w:val="18"/>
          <w:szCs w:val="18"/>
          <w:lang w:val="en-GB" w:eastAsia="nl-NL"/>
        </w:rPr>
      </w:pPr>
      <w:r w:rsidRPr="00F63993">
        <w:rPr>
          <w:rFonts w:ascii="inherit" w:eastAsia="Times New Roman" w:hAnsi="inherit" w:cs="Times New Roman"/>
          <w:color w:val="555A62"/>
          <w:sz w:val="18"/>
          <w:szCs w:val="18"/>
          <w:lang w:val="en-GB" w:eastAsia="nl-NL"/>
        </w:rPr>
        <w:t>Data Guard gives you a Physical Standby database that you </w:t>
      </w:r>
      <w:r w:rsidRPr="00F63993">
        <w:rPr>
          <w:rFonts w:ascii="inherit" w:eastAsia="Times New Roman" w:hAnsi="inherit" w:cs="Times New Roman"/>
          <w:i/>
          <w:iCs/>
          <w:color w:val="555A62"/>
          <w:sz w:val="18"/>
          <w:szCs w:val="18"/>
          <w:bdr w:val="none" w:sz="0" w:space="0" w:color="auto" w:frame="1"/>
          <w:lang w:val="en-GB" w:eastAsia="nl-NL"/>
        </w:rPr>
        <w:t>can</w:t>
      </w:r>
      <w:r w:rsidRPr="00F63993">
        <w:rPr>
          <w:rFonts w:ascii="inherit" w:eastAsia="Times New Roman" w:hAnsi="inherit" w:cs="Times New Roman"/>
          <w:color w:val="555A62"/>
          <w:sz w:val="18"/>
          <w:szCs w:val="18"/>
          <w:lang w:val="en-GB" w:eastAsia="nl-NL"/>
        </w:rPr>
        <w:t> fail over to, either manually or automatically, using an Observer.  When you do this, the current Primary becomes the new Physical Standby.</w:t>
      </w:r>
    </w:p>
    <w:p w14:paraId="76500FDD" w14:textId="77777777" w:rsidR="00F63993" w:rsidRPr="00F63993" w:rsidRDefault="00F63993" w:rsidP="00F63993">
      <w:pPr>
        <w:numPr>
          <w:ilvl w:val="0"/>
          <w:numId w:val="1"/>
        </w:numPr>
        <w:shd w:val="clear" w:color="auto" w:fill="FFFFFF"/>
        <w:spacing w:after="0" w:line="240" w:lineRule="auto"/>
        <w:ind w:left="1200"/>
        <w:textAlignment w:val="baseline"/>
        <w:rPr>
          <w:rFonts w:ascii="inherit" w:eastAsia="Times New Roman" w:hAnsi="inherit" w:cs="Times New Roman"/>
          <w:color w:val="555A62"/>
          <w:sz w:val="18"/>
          <w:szCs w:val="18"/>
          <w:lang w:val="en-GB" w:eastAsia="nl-NL"/>
        </w:rPr>
      </w:pPr>
      <w:r w:rsidRPr="00F63993">
        <w:rPr>
          <w:rFonts w:ascii="inherit" w:eastAsia="Times New Roman" w:hAnsi="inherit" w:cs="Times New Roman"/>
          <w:i/>
          <w:iCs/>
          <w:color w:val="555A62"/>
          <w:sz w:val="18"/>
          <w:szCs w:val="18"/>
          <w:bdr w:val="none" w:sz="0" w:space="0" w:color="auto" w:frame="1"/>
          <w:lang w:val="en-GB" w:eastAsia="nl-NL"/>
        </w:rPr>
        <w:t>Active</w:t>
      </w:r>
      <w:r w:rsidRPr="00F63993">
        <w:rPr>
          <w:rFonts w:ascii="inherit" w:eastAsia="Times New Roman" w:hAnsi="inherit" w:cs="Times New Roman"/>
          <w:color w:val="555A62"/>
          <w:sz w:val="18"/>
          <w:szCs w:val="18"/>
          <w:lang w:val="en-GB" w:eastAsia="nl-NL"/>
        </w:rPr>
        <w:t> Data Guard gives you all of that </w:t>
      </w:r>
      <w:r w:rsidRPr="00F63993">
        <w:rPr>
          <w:rFonts w:ascii="inherit" w:eastAsia="Times New Roman" w:hAnsi="inherit" w:cs="Times New Roman"/>
          <w:i/>
          <w:iCs/>
          <w:color w:val="555A62"/>
          <w:sz w:val="18"/>
          <w:szCs w:val="18"/>
          <w:bdr w:val="none" w:sz="0" w:space="0" w:color="auto" w:frame="1"/>
          <w:lang w:val="en-GB" w:eastAsia="nl-NL"/>
        </w:rPr>
        <w:t>and</w:t>
      </w:r>
      <w:r w:rsidRPr="00F63993">
        <w:rPr>
          <w:rFonts w:ascii="inherit" w:eastAsia="Times New Roman" w:hAnsi="inherit" w:cs="Times New Roman"/>
          <w:color w:val="555A62"/>
          <w:sz w:val="18"/>
          <w:szCs w:val="18"/>
          <w:lang w:val="en-GB" w:eastAsia="nl-NL"/>
        </w:rPr>
        <w:t> allows you to open the Standby database and read from it.</w:t>
      </w:r>
    </w:p>
    <w:p w14:paraId="787D7B75" w14:textId="77777777" w:rsidR="00F63993" w:rsidRPr="00F63993" w:rsidRDefault="00F63993" w:rsidP="00F63993">
      <w:pPr>
        <w:shd w:val="clear" w:color="auto" w:fill="FFFFFF"/>
        <w:spacing w:after="0" w:line="240" w:lineRule="auto"/>
        <w:textAlignment w:val="baseline"/>
        <w:rPr>
          <w:rFonts w:ascii="Oracle Sans" w:eastAsia="Times New Roman" w:hAnsi="Oracle Sans" w:cs="Times New Roman"/>
          <w:color w:val="555A62"/>
          <w:sz w:val="18"/>
          <w:szCs w:val="18"/>
          <w:lang w:val="en-GB" w:eastAsia="nl-NL"/>
        </w:rPr>
      </w:pPr>
      <w:r w:rsidRPr="00F63993">
        <w:rPr>
          <w:rFonts w:ascii="Oracle Sans" w:eastAsia="Times New Roman" w:hAnsi="Oracle Sans" w:cs="Times New Roman"/>
          <w:color w:val="555A62"/>
          <w:sz w:val="18"/>
          <w:szCs w:val="18"/>
          <w:lang w:val="en-GB" w:eastAsia="nl-NL"/>
        </w:rPr>
        <w:t>Personally, if you want to "load-balance" </w:t>
      </w:r>
      <w:r w:rsidRPr="00F63993">
        <w:rPr>
          <w:rFonts w:ascii="inherit" w:eastAsia="Times New Roman" w:hAnsi="inherit" w:cs="Times New Roman"/>
          <w:i/>
          <w:iCs/>
          <w:color w:val="555A62"/>
          <w:sz w:val="18"/>
          <w:szCs w:val="18"/>
          <w:bdr w:val="none" w:sz="0" w:space="0" w:color="auto" w:frame="1"/>
          <w:lang w:val="en-GB" w:eastAsia="nl-NL"/>
        </w:rPr>
        <w:t>non-time-critical</w:t>
      </w:r>
      <w:r w:rsidRPr="00F63993">
        <w:rPr>
          <w:rFonts w:ascii="Oracle Sans" w:eastAsia="Times New Roman" w:hAnsi="Oracle Sans" w:cs="Times New Roman"/>
          <w:color w:val="555A62"/>
          <w:sz w:val="18"/>
          <w:szCs w:val="18"/>
          <w:lang w:val="en-GB" w:eastAsia="nl-NL"/>
        </w:rPr>
        <w:t> read traffic (stuff that can be a few seconds out of date), I'd suggest using Data Guard to create a [number of] Logical Standby database[s].  These are a little slower to update than Physical Standbys (re-applying SQL to the Logical Standby, rather than shipping blocks or change vectors), but you can have any number of them open and readable at the same time. </w:t>
      </w:r>
    </w:p>
    <w:p w14:paraId="0417EEE4" w14:textId="559DE1D8" w:rsidR="00115B05" w:rsidRPr="009733B9" w:rsidRDefault="009A77FE">
      <w:pPr>
        <w:rPr>
          <w:sz w:val="18"/>
          <w:szCs w:val="18"/>
          <w:lang w:val="en-GB"/>
        </w:rPr>
      </w:pPr>
      <w:r w:rsidRPr="009733B9">
        <w:rPr>
          <w:sz w:val="18"/>
          <w:szCs w:val="18"/>
          <w:lang w:val="en-GB"/>
        </w:rPr>
        <w:t>--</w:t>
      </w:r>
    </w:p>
    <w:p w14:paraId="0FD7DB0E" w14:textId="1DF8546D" w:rsidR="009A77FE" w:rsidRPr="009A77FE" w:rsidRDefault="009A77FE" w:rsidP="009A77FE">
      <w:pPr>
        <w:shd w:val="clear" w:color="auto" w:fill="FFFFFF"/>
        <w:spacing w:before="120" w:after="240" w:line="240" w:lineRule="auto"/>
        <w:textAlignment w:val="baseline"/>
        <w:rPr>
          <w:rFonts w:ascii="Oracle Sans" w:eastAsia="Times New Roman" w:hAnsi="Oracle Sans" w:cs="Times New Roman"/>
          <w:color w:val="555A62"/>
          <w:sz w:val="18"/>
          <w:szCs w:val="18"/>
          <w:lang w:val="en-GB" w:eastAsia="nl-NL"/>
        </w:rPr>
      </w:pPr>
      <w:r w:rsidRPr="009A77FE">
        <w:rPr>
          <w:rFonts w:ascii="Oracle Sans" w:eastAsia="Times New Roman" w:hAnsi="Oracle Sans" w:cs="Times New Roman"/>
          <w:color w:val="555A62"/>
          <w:sz w:val="18"/>
          <w:szCs w:val="18"/>
          <w:lang w:val="en-GB" w:eastAsia="nl-NL"/>
        </w:rPr>
        <w:t>After configuring data guard / physical standby you can start the MRP when database is ruining in mount phase, this does not requires license .</w:t>
      </w:r>
      <w:r w:rsidRPr="009733B9">
        <w:rPr>
          <w:rFonts w:ascii="Oracle Sans" w:eastAsia="Times New Roman" w:hAnsi="Oracle Sans" w:cs="Times New Roman"/>
          <w:color w:val="555A62"/>
          <w:sz w:val="18"/>
          <w:szCs w:val="18"/>
          <w:lang w:val="en-GB" w:eastAsia="nl-NL"/>
        </w:rPr>
        <w:br/>
      </w:r>
      <w:r w:rsidRPr="009A77FE">
        <w:rPr>
          <w:rFonts w:ascii="Oracle Sans" w:eastAsia="Times New Roman" w:hAnsi="Oracle Sans" w:cs="Times New Roman"/>
          <w:color w:val="555A62"/>
          <w:sz w:val="18"/>
          <w:szCs w:val="18"/>
          <w:lang w:val="en-GB" w:eastAsia="nl-NL"/>
        </w:rPr>
        <w:t>If you need this database to be opened in read only, you can open this database in read only (But your should not start MRP to apply archives), this does not requires license.if you want to apply, shutdown and startup mount and start MRP</w:t>
      </w:r>
      <w:r w:rsidRPr="009733B9">
        <w:rPr>
          <w:rFonts w:ascii="Oracle Sans" w:eastAsia="Times New Roman" w:hAnsi="Oracle Sans" w:cs="Times New Roman"/>
          <w:color w:val="555A62"/>
          <w:sz w:val="18"/>
          <w:szCs w:val="18"/>
          <w:lang w:val="en-GB" w:eastAsia="nl-NL"/>
        </w:rPr>
        <w:br/>
      </w:r>
      <w:r w:rsidRPr="009A77FE">
        <w:rPr>
          <w:rFonts w:ascii="Oracle Sans" w:eastAsia="Times New Roman" w:hAnsi="Oracle Sans" w:cs="Times New Roman"/>
          <w:color w:val="555A62"/>
          <w:sz w:val="18"/>
          <w:szCs w:val="18"/>
          <w:lang w:val="en-GB" w:eastAsia="nl-NL"/>
        </w:rPr>
        <w:t>If you have requirement where your database should be in read only at the same time you need to apply archive, this feature called ACTIVE DATAGUARD   &amp; this requires license.</w:t>
      </w:r>
      <w:r w:rsidRPr="009733B9">
        <w:rPr>
          <w:rFonts w:ascii="Oracle Sans" w:eastAsia="Times New Roman" w:hAnsi="Oracle Sans" w:cs="Times New Roman"/>
          <w:color w:val="555A62"/>
          <w:sz w:val="18"/>
          <w:szCs w:val="18"/>
          <w:lang w:val="en-GB" w:eastAsia="nl-NL"/>
        </w:rPr>
        <w:br/>
      </w:r>
      <w:r w:rsidRPr="009A77FE">
        <w:rPr>
          <w:rFonts w:ascii="Oracle Sans" w:eastAsia="Times New Roman" w:hAnsi="Oracle Sans" w:cs="Times New Roman"/>
          <w:color w:val="555A62"/>
          <w:sz w:val="18"/>
          <w:szCs w:val="18"/>
          <w:lang w:val="en-GB" w:eastAsia="nl-NL"/>
        </w:rPr>
        <w:t>And For EE license you will have to include both primary and standby</w:t>
      </w:r>
    </w:p>
    <w:p w14:paraId="66BBF285" w14:textId="6C62376D" w:rsidR="00F63993" w:rsidRPr="009733B9" w:rsidRDefault="009733B9">
      <w:pPr>
        <w:rPr>
          <w:sz w:val="18"/>
          <w:szCs w:val="18"/>
          <w:lang w:val="en-GB"/>
        </w:rPr>
      </w:pPr>
      <w:r w:rsidRPr="009733B9">
        <w:rPr>
          <w:sz w:val="18"/>
          <w:szCs w:val="18"/>
          <w:lang w:val="en-GB"/>
        </w:rPr>
        <w:t>--</w:t>
      </w:r>
      <w:r w:rsidR="001B0DF0" w:rsidRPr="001B0DF0">
        <w:rPr>
          <w:sz w:val="18"/>
          <w:szCs w:val="18"/>
          <w:lang w:val="en-GB"/>
        </w:rPr>
        <w:t>http://www.dba-oracle.com/t_data_guard_licensing.htm</w:t>
      </w:r>
    </w:p>
    <w:p w14:paraId="796B0F71" w14:textId="77777777" w:rsidR="009733B9" w:rsidRPr="009733B9" w:rsidRDefault="009733B9" w:rsidP="009733B9">
      <w:pPr>
        <w:spacing w:before="100" w:beforeAutospacing="1" w:after="100" w:afterAutospacing="1" w:line="240" w:lineRule="auto"/>
        <w:rPr>
          <w:rFonts w:ascii="Arial" w:eastAsia="Times New Roman" w:hAnsi="Arial" w:cs="Arial"/>
          <w:color w:val="000000"/>
          <w:sz w:val="18"/>
          <w:szCs w:val="18"/>
          <w:lang w:val="en-GB" w:eastAsia="nl-NL"/>
        </w:rPr>
      </w:pPr>
      <w:r w:rsidRPr="009733B9">
        <w:rPr>
          <w:rFonts w:ascii="Times New Roman" w:eastAsia="Times New Roman" w:hAnsi="Times New Roman" w:cs="Times New Roman"/>
          <w:color w:val="000000"/>
          <w:sz w:val="18"/>
          <w:szCs w:val="18"/>
          <w:lang w:val="en-GB" w:eastAsia="nl-NL"/>
        </w:rPr>
        <w:t>There has historically been a great deal of confusion about the licensing requirements for Oracle Data Guard.  Depending upon your implementation of Data Guard for standby database or failover database, the licensing rules may be different. </w:t>
      </w:r>
    </w:p>
    <w:p w14:paraId="1B3C561E" w14:textId="77777777" w:rsidR="009733B9" w:rsidRPr="009733B9" w:rsidRDefault="009733B9" w:rsidP="009733B9">
      <w:pPr>
        <w:spacing w:before="100" w:beforeAutospacing="1" w:after="100" w:afterAutospacing="1" w:line="240" w:lineRule="auto"/>
        <w:rPr>
          <w:rFonts w:ascii="Arial" w:eastAsia="Times New Roman" w:hAnsi="Arial" w:cs="Arial"/>
          <w:color w:val="000000"/>
          <w:sz w:val="18"/>
          <w:szCs w:val="18"/>
          <w:lang w:val="en-GB" w:eastAsia="nl-NL"/>
        </w:rPr>
      </w:pPr>
      <w:r w:rsidRPr="009733B9">
        <w:rPr>
          <w:rFonts w:ascii="Times New Roman" w:eastAsia="Times New Roman" w:hAnsi="Times New Roman" w:cs="Times New Roman"/>
          <w:color w:val="000000"/>
          <w:sz w:val="18"/>
          <w:szCs w:val="18"/>
          <w:lang w:val="en-GB" w:eastAsia="nl-NL"/>
        </w:rPr>
        <w:t>There is only one outstanding book dedicated to Oracle Data Guard, "</w:t>
      </w:r>
      <w:hyperlink r:id="rId5" w:history="1">
        <w:r w:rsidRPr="009733B9">
          <w:rPr>
            <w:rFonts w:ascii="Times New Roman" w:eastAsia="Times New Roman" w:hAnsi="Times New Roman" w:cs="Times New Roman"/>
            <w:b/>
            <w:bCs/>
            <w:color w:val="0000FF"/>
            <w:sz w:val="18"/>
            <w:szCs w:val="18"/>
            <w:u w:val="single"/>
            <w:lang w:val="en-GB" w:eastAsia="nl-NL"/>
          </w:rPr>
          <w:t>Oracle Data Guard: Standby Database Failover Handbook</w:t>
        </w:r>
      </w:hyperlink>
      <w:r w:rsidRPr="009733B9">
        <w:rPr>
          <w:rFonts w:ascii="Times New Roman" w:eastAsia="Times New Roman" w:hAnsi="Times New Roman" w:cs="Times New Roman"/>
          <w:color w:val="000000"/>
          <w:sz w:val="18"/>
          <w:szCs w:val="18"/>
          <w:lang w:val="en-GB" w:eastAsia="nl-NL"/>
        </w:rPr>
        <w:t>", a highly recommended reference for all possible Oracle Data Guard configurations.</w:t>
      </w:r>
    </w:p>
    <w:p w14:paraId="74C07E4F" w14:textId="77777777" w:rsidR="009733B9" w:rsidRPr="009733B9" w:rsidRDefault="009733B9" w:rsidP="009733B9">
      <w:pPr>
        <w:spacing w:before="100" w:beforeAutospacing="1" w:after="100" w:afterAutospacing="1" w:line="240" w:lineRule="auto"/>
        <w:outlineLvl w:val="1"/>
        <w:rPr>
          <w:rFonts w:ascii="Arial" w:eastAsia="Times New Roman" w:hAnsi="Arial" w:cs="Arial"/>
          <w:b/>
          <w:bCs/>
          <w:color w:val="000000"/>
          <w:sz w:val="18"/>
          <w:szCs w:val="18"/>
          <w:lang w:val="en-GB" w:eastAsia="nl-NL"/>
        </w:rPr>
      </w:pPr>
      <w:r w:rsidRPr="009733B9">
        <w:rPr>
          <w:rFonts w:ascii="Times New Roman" w:eastAsia="Times New Roman" w:hAnsi="Times New Roman" w:cs="Times New Roman"/>
          <w:b/>
          <w:bCs/>
          <w:color w:val="000000"/>
          <w:sz w:val="18"/>
          <w:szCs w:val="18"/>
          <w:lang w:val="en-GB" w:eastAsia="nl-NL"/>
        </w:rPr>
        <w:t>Oracle Data Guard licensing for Failover</w:t>
      </w:r>
    </w:p>
    <w:p w14:paraId="17BA8C7F" w14:textId="77777777" w:rsidR="009733B9" w:rsidRPr="009733B9" w:rsidRDefault="009733B9" w:rsidP="009733B9">
      <w:pPr>
        <w:spacing w:before="100" w:beforeAutospacing="1" w:after="100" w:afterAutospacing="1" w:line="240" w:lineRule="auto"/>
        <w:rPr>
          <w:rFonts w:ascii="Arial" w:eastAsia="Times New Roman" w:hAnsi="Arial" w:cs="Arial"/>
          <w:color w:val="000000"/>
          <w:sz w:val="18"/>
          <w:szCs w:val="18"/>
          <w:lang w:val="en-GB" w:eastAsia="nl-NL"/>
        </w:rPr>
      </w:pPr>
      <w:r w:rsidRPr="009733B9">
        <w:rPr>
          <w:rFonts w:ascii="Times New Roman" w:eastAsia="Times New Roman" w:hAnsi="Times New Roman" w:cs="Times New Roman"/>
          <w:color w:val="000000"/>
          <w:sz w:val="18"/>
          <w:szCs w:val="18"/>
          <w:lang w:val="en-GB" w:eastAsia="nl-NL"/>
        </w:rPr>
        <w:t>At one time, Data Guard "</w:t>
      </w:r>
      <w:hyperlink r:id="rId6" w:history="1">
        <w:r w:rsidRPr="009733B9">
          <w:rPr>
            <w:rFonts w:ascii="Times New Roman" w:eastAsia="Times New Roman" w:hAnsi="Times New Roman" w:cs="Times New Roman"/>
            <w:color w:val="0000FF"/>
            <w:sz w:val="18"/>
            <w:szCs w:val="18"/>
            <w:u w:val="single"/>
            <w:lang w:val="en-GB" w:eastAsia="nl-NL"/>
          </w:rPr>
          <w:t>failover</w:t>
        </w:r>
      </w:hyperlink>
      <w:r w:rsidRPr="009733B9">
        <w:rPr>
          <w:rFonts w:ascii="Times New Roman" w:eastAsia="Times New Roman" w:hAnsi="Times New Roman" w:cs="Times New Roman"/>
          <w:color w:val="000000"/>
          <w:sz w:val="18"/>
          <w:szCs w:val="18"/>
          <w:lang w:val="en-GB" w:eastAsia="nl-NL"/>
        </w:rPr>
        <w:t>" configurations that were used less than 10 days per year did not need to be licensed.  At one point, the following was posted in an Oracle online forum by an informed user:</w:t>
      </w:r>
    </w:p>
    <w:p w14:paraId="6AAC97E9" w14:textId="77777777" w:rsidR="009733B9" w:rsidRPr="009733B9" w:rsidRDefault="009733B9" w:rsidP="009733B9">
      <w:pPr>
        <w:spacing w:beforeAutospacing="1" w:after="100" w:afterAutospacing="1" w:line="240" w:lineRule="auto"/>
        <w:rPr>
          <w:rFonts w:ascii="Arial" w:eastAsia="Times New Roman" w:hAnsi="Arial" w:cs="Arial"/>
          <w:color w:val="000000"/>
          <w:sz w:val="18"/>
          <w:szCs w:val="18"/>
          <w:lang w:val="en-GB" w:eastAsia="nl-NL"/>
        </w:rPr>
      </w:pPr>
      <w:r w:rsidRPr="009733B9">
        <w:rPr>
          <w:rFonts w:ascii="Times New Roman" w:eastAsia="Times New Roman" w:hAnsi="Times New Roman" w:cs="Times New Roman"/>
          <w:color w:val="000000"/>
          <w:sz w:val="18"/>
          <w:szCs w:val="18"/>
          <w:lang w:val="en-GB" w:eastAsia="nl-NL"/>
        </w:rPr>
        <w:t>"I was told if the second node is used less than 10 days a year, then no additional license was required."</w:t>
      </w:r>
    </w:p>
    <w:p w14:paraId="7A4CB330" w14:textId="77777777" w:rsidR="009733B9" w:rsidRPr="009733B9" w:rsidRDefault="009733B9" w:rsidP="009733B9">
      <w:pPr>
        <w:spacing w:before="100" w:beforeAutospacing="1" w:after="100" w:afterAutospacing="1" w:line="240" w:lineRule="auto"/>
        <w:outlineLvl w:val="1"/>
        <w:rPr>
          <w:rFonts w:ascii="Arial" w:eastAsia="Times New Roman" w:hAnsi="Arial" w:cs="Arial"/>
          <w:b/>
          <w:bCs/>
          <w:color w:val="000000"/>
          <w:sz w:val="18"/>
          <w:szCs w:val="18"/>
          <w:lang w:val="en-GB" w:eastAsia="nl-NL"/>
        </w:rPr>
      </w:pPr>
      <w:r w:rsidRPr="009733B9">
        <w:rPr>
          <w:rFonts w:ascii="Times New Roman" w:eastAsia="Times New Roman" w:hAnsi="Times New Roman" w:cs="Times New Roman"/>
          <w:b/>
          <w:bCs/>
          <w:color w:val="000000"/>
          <w:sz w:val="18"/>
          <w:szCs w:val="18"/>
          <w:lang w:val="en-GB" w:eastAsia="nl-NL"/>
        </w:rPr>
        <w:t>Oracle Data Guard licensing for Standby</w:t>
      </w:r>
    </w:p>
    <w:p w14:paraId="6B8327B4" w14:textId="77777777" w:rsidR="009733B9" w:rsidRPr="009733B9" w:rsidRDefault="009733B9" w:rsidP="009733B9">
      <w:pPr>
        <w:spacing w:before="100" w:beforeAutospacing="1" w:after="100" w:afterAutospacing="1" w:line="240" w:lineRule="auto"/>
        <w:rPr>
          <w:rFonts w:ascii="Arial" w:eastAsia="Times New Roman" w:hAnsi="Arial" w:cs="Arial"/>
          <w:color w:val="000000"/>
          <w:sz w:val="18"/>
          <w:szCs w:val="18"/>
          <w:lang w:val="en-GB" w:eastAsia="nl-NL"/>
        </w:rPr>
      </w:pPr>
      <w:r w:rsidRPr="009733B9">
        <w:rPr>
          <w:rFonts w:ascii="Times New Roman" w:eastAsia="Times New Roman" w:hAnsi="Times New Roman" w:cs="Times New Roman"/>
          <w:color w:val="000000"/>
          <w:sz w:val="18"/>
          <w:szCs w:val="18"/>
          <w:lang w:val="en-GB" w:eastAsia="nl-NL"/>
        </w:rPr>
        <w:t>A common use of Data Guard is to create a "standby" Oracle server as protection against hardware failure. On March 16, 2006, the Oracle documentation noted that all standby databases had to be fully licensed if they might be used as production:</w:t>
      </w:r>
    </w:p>
    <w:p w14:paraId="21971A8E" w14:textId="77777777" w:rsidR="009733B9" w:rsidRPr="009733B9" w:rsidRDefault="009733B9" w:rsidP="009733B9">
      <w:pPr>
        <w:spacing w:beforeAutospacing="1" w:after="100" w:afterAutospacing="1" w:line="240" w:lineRule="auto"/>
        <w:rPr>
          <w:rFonts w:ascii="Times New Roman" w:eastAsia="Times New Roman" w:hAnsi="Times New Roman" w:cs="Times New Roman"/>
          <w:color w:val="000000"/>
          <w:sz w:val="18"/>
          <w:szCs w:val="18"/>
          <w:lang w:val="en-GB" w:eastAsia="nl-NL"/>
        </w:rPr>
      </w:pPr>
      <w:r w:rsidRPr="009733B9">
        <w:rPr>
          <w:rFonts w:ascii="Times New Roman" w:eastAsia="Times New Roman" w:hAnsi="Times New Roman" w:cs="Times New Roman"/>
          <w:i/>
          <w:iCs/>
          <w:color w:val="000000"/>
          <w:sz w:val="18"/>
          <w:szCs w:val="18"/>
          <w:lang w:val="en-GB" w:eastAsia="nl-NL"/>
        </w:rPr>
        <w:t>"Standby - In this type of recovery, a copy of the primary database is maintained on a separate server at all times. These systems are configured for disaster recovery purposes. If the primary database fails, the standby database is activated to act as the new primary database.</w:t>
      </w:r>
    </w:p>
    <w:p w14:paraId="3CE27E4C" w14:textId="77777777" w:rsidR="009733B9" w:rsidRPr="009733B9" w:rsidRDefault="009733B9" w:rsidP="009733B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9733B9">
        <w:rPr>
          <w:rFonts w:ascii="Times New Roman" w:eastAsia="Times New Roman" w:hAnsi="Times New Roman" w:cs="Times New Roman"/>
          <w:i/>
          <w:iCs/>
          <w:color w:val="000000"/>
          <w:sz w:val="18"/>
          <w:szCs w:val="18"/>
          <w:lang w:val="en-GB" w:eastAsia="nl-NL"/>
        </w:rPr>
        <w:t>In this environment, both the primary and the standby databases must be fully licensed."</w:t>
      </w:r>
    </w:p>
    <w:p w14:paraId="5813F2BD" w14:textId="77777777" w:rsidR="009733B9" w:rsidRPr="009733B9" w:rsidRDefault="009733B9" w:rsidP="009733B9">
      <w:pPr>
        <w:spacing w:before="100" w:beforeAutospacing="1" w:after="100" w:afterAutospacing="1" w:line="240" w:lineRule="auto"/>
        <w:rPr>
          <w:rFonts w:ascii="Arial" w:eastAsia="Times New Roman" w:hAnsi="Arial" w:cs="Arial"/>
          <w:color w:val="000000"/>
          <w:sz w:val="18"/>
          <w:szCs w:val="18"/>
          <w:lang w:val="en-GB" w:eastAsia="nl-NL"/>
        </w:rPr>
      </w:pPr>
      <w:r w:rsidRPr="009733B9">
        <w:rPr>
          <w:rFonts w:ascii="Times New Roman" w:eastAsia="Times New Roman" w:hAnsi="Times New Roman" w:cs="Times New Roman"/>
          <w:color w:val="000000"/>
          <w:sz w:val="18"/>
          <w:szCs w:val="18"/>
          <w:lang w:val="en-GB" w:eastAsia="nl-NL"/>
        </w:rPr>
        <w:t>Oracle standby servers need to be fully licensed if they are ?hot standby? servers that can be used for production SQL queries.  Some sources said that cold standby servers used less than 10 days per year did not need to be licensed, but licensing requirements should always be verified with your Oracle representative or </w:t>
      </w:r>
      <w:hyperlink r:id="rId7" w:history="1">
        <w:r w:rsidRPr="009733B9">
          <w:rPr>
            <w:rFonts w:ascii="Times New Roman" w:eastAsia="Times New Roman" w:hAnsi="Times New Roman" w:cs="Times New Roman"/>
            <w:color w:val="0000FF"/>
            <w:sz w:val="18"/>
            <w:szCs w:val="18"/>
            <w:u w:val="single"/>
            <w:lang w:val="en-GB" w:eastAsia="nl-NL"/>
          </w:rPr>
          <w:t>the Oracle Store</w:t>
        </w:r>
      </w:hyperlink>
      <w:r w:rsidRPr="009733B9">
        <w:rPr>
          <w:rFonts w:ascii="Times New Roman" w:eastAsia="Times New Roman" w:hAnsi="Times New Roman" w:cs="Times New Roman"/>
          <w:color w:val="000000"/>
          <w:sz w:val="18"/>
          <w:szCs w:val="18"/>
          <w:lang w:val="en-GB" w:eastAsia="nl-NL"/>
        </w:rPr>
        <w:t>.  In sum, current 2006 Oracle Data Guard licensing policies suggested that if Data Guard is installed for "standby" purposes, it required full licensing.</w:t>
      </w:r>
    </w:p>
    <w:p w14:paraId="1054214B" w14:textId="77777777" w:rsidR="009733B9" w:rsidRPr="009733B9" w:rsidRDefault="009733B9" w:rsidP="009733B9">
      <w:pPr>
        <w:spacing w:before="100" w:beforeAutospacing="1" w:after="100" w:afterAutospacing="1" w:line="240" w:lineRule="auto"/>
        <w:rPr>
          <w:rFonts w:ascii="Arial" w:eastAsia="Times New Roman" w:hAnsi="Arial" w:cs="Arial"/>
          <w:color w:val="000000"/>
          <w:sz w:val="18"/>
          <w:szCs w:val="18"/>
          <w:lang w:val="en-GB" w:eastAsia="nl-NL"/>
        </w:rPr>
      </w:pPr>
      <w:r w:rsidRPr="009733B9">
        <w:rPr>
          <w:rFonts w:ascii="Times New Roman" w:eastAsia="Times New Roman" w:hAnsi="Times New Roman" w:cs="Times New Roman"/>
          <w:color w:val="000000"/>
          <w:sz w:val="18"/>
          <w:szCs w:val="18"/>
          <w:lang w:val="en-GB" w:eastAsia="nl-NL"/>
        </w:rPr>
        <w:t>For a full current explanation of Oracle Data Guard licensing prices and policies, contact your Oracle Customer Support Representative (CSR).</w:t>
      </w:r>
    </w:p>
    <w:p w14:paraId="068DEB8E" w14:textId="77777777" w:rsidR="009733B9" w:rsidRPr="009733B9" w:rsidRDefault="009733B9" w:rsidP="009733B9">
      <w:pPr>
        <w:spacing w:before="100" w:beforeAutospacing="1" w:after="100" w:afterAutospacing="1" w:line="240" w:lineRule="auto"/>
        <w:rPr>
          <w:rFonts w:ascii="Arial" w:eastAsia="Times New Roman" w:hAnsi="Arial" w:cs="Arial"/>
          <w:color w:val="000000"/>
          <w:sz w:val="18"/>
          <w:szCs w:val="18"/>
          <w:lang w:val="en-GB" w:eastAsia="nl-NL"/>
        </w:rPr>
      </w:pPr>
      <w:r w:rsidRPr="009733B9">
        <w:rPr>
          <w:rFonts w:ascii="Times New Roman" w:eastAsia="Times New Roman" w:hAnsi="Times New Roman" w:cs="Times New Roman"/>
          <w:color w:val="000000"/>
          <w:sz w:val="18"/>
          <w:szCs w:val="18"/>
          <w:lang w:val="en-GB" w:eastAsia="nl-NL"/>
        </w:rPr>
        <w:t>Information on Oracle Pricing is available from </w:t>
      </w:r>
      <w:hyperlink r:id="rId8" w:history="1">
        <w:r w:rsidRPr="009733B9">
          <w:rPr>
            <w:rFonts w:ascii="Times New Roman" w:eastAsia="Times New Roman" w:hAnsi="Times New Roman" w:cs="Times New Roman"/>
            <w:color w:val="0000FF"/>
            <w:sz w:val="18"/>
            <w:szCs w:val="18"/>
            <w:u w:val="single"/>
            <w:lang w:val="en-GB" w:eastAsia="nl-NL"/>
          </w:rPr>
          <w:t>Oracle Corporation</w:t>
        </w:r>
      </w:hyperlink>
      <w:r w:rsidRPr="009733B9">
        <w:rPr>
          <w:rFonts w:ascii="Times New Roman" w:eastAsia="Times New Roman" w:hAnsi="Times New Roman" w:cs="Times New Roman"/>
          <w:color w:val="000000"/>
          <w:sz w:val="18"/>
          <w:szCs w:val="18"/>
          <w:lang w:val="en-GB" w:eastAsia="nl-NL"/>
        </w:rPr>
        <w:t>.</w:t>
      </w:r>
    </w:p>
    <w:p w14:paraId="4A575DE1" w14:textId="2CAA2DD1" w:rsidR="009733B9" w:rsidRPr="009733B9" w:rsidRDefault="009733B9">
      <w:pPr>
        <w:rPr>
          <w:sz w:val="18"/>
          <w:szCs w:val="18"/>
          <w:lang w:val="en-GB"/>
        </w:rPr>
      </w:pPr>
    </w:p>
    <w:p w14:paraId="17AC6CA4" w14:textId="77777777" w:rsidR="009733B9" w:rsidRPr="009733B9" w:rsidRDefault="009733B9">
      <w:pPr>
        <w:rPr>
          <w:sz w:val="18"/>
          <w:szCs w:val="18"/>
          <w:lang w:val="en-GB"/>
        </w:rPr>
      </w:pPr>
    </w:p>
    <w:p w14:paraId="4F228EDA" w14:textId="77777777" w:rsidR="00F63993" w:rsidRPr="009733B9" w:rsidRDefault="00F63993">
      <w:pPr>
        <w:rPr>
          <w:sz w:val="18"/>
          <w:szCs w:val="18"/>
          <w:lang w:val="en-GB"/>
        </w:rPr>
      </w:pPr>
    </w:p>
    <w:p w14:paraId="4068FB03" w14:textId="77777777" w:rsidR="00F63993" w:rsidRPr="009733B9" w:rsidRDefault="00F63993">
      <w:pPr>
        <w:rPr>
          <w:sz w:val="18"/>
          <w:szCs w:val="18"/>
          <w:lang w:val="en-GB"/>
        </w:rPr>
      </w:pPr>
    </w:p>
    <w:sectPr w:rsidR="00F63993" w:rsidRPr="009733B9"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racle 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B2016"/>
    <w:multiLevelType w:val="multilevel"/>
    <w:tmpl w:val="4E3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A8"/>
    <w:rsid w:val="00115B05"/>
    <w:rsid w:val="001B0DF0"/>
    <w:rsid w:val="003465A8"/>
    <w:rsid w:val="009733B9"/>
    <w:rsid w:val="009A77FE"/>
    <w:rsid w:val="00F63993"/>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FA44"/>
  <w15:chartTrackingRefBased/>
  <w15:docId w15:val="{961305C1-44CD-4220-868B-186CDE31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9733B9"/>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6399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F63993"/>
    <w:rPr>
      <w:i/>
      <w:iCs/>
    </w:rPr>
  </w:style>
  <w:style w:type="character" w:styleId="Zwaar">
    <w:name w:val="Strong"/>
    <w:basedOn w:val="Standaardalinea-lettertype"/>
    <w:uiPriority w:val="22"/>
    <w:qFormat/>
    <w:rsid w:val="00F63993"/>
    <w:rPr>
      <w:b/>
      <w:bCs/>
    </w:rPr>
  </w:style>
  <w:style w:type="character" w:customStyle="1" w:styleId="Kop2Char">
    <w:name w:val="Kop 2 Char"/>
    <w:basedOn w:val="Standaardalinea-lettertype"/>
    <w:link w:val="Kop2"/>
    <w:uiPriority w:val="9"/>
    <w:rsid w:val="009733B9"/>
    <w:rPr>
      <w:rFonts w:ascii="Times New Roman" w:eastAsia="Times New Roman" w:hAnsi="Times New Roman" w:cs="Times New Roman"/>
      <w:b/>
      <w:bCs/>
      <w:sz w:val="36"/>
      <w:szCs w:val="36"/>
      <w:lang w:eastAsia="nl-NL"/>
    </w:rPr>
  </w:style>
  <w:style w:type="paragraph" w:customStyle="1" w:styleId="g">
    <w:name w:val="g"/>
    <w:basedOn w:val="Standaard"/>
    <w:rsid w:val="009733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3">
    <w:name w:val="a3"/>
    <w:basedOn w:val="Standaardalinea-lettertype"/>
    <w:rsid w:val="009733B9"/>
  </w:style>
  <w:style w:type="character" w:styleId="Hyperlink">
    <w:name w:val="Hyperlink"/>
    <w:basedOn w:val="Standaardalinea-lettertype"/>
    <w:uiPriority w:val="99"/>
    <w:semiHidden/>
    <w:unhideWhenUsed/>
    <w:rsid w:val="009733B9"/>
    <w:rPr>
      <w:color w:val="0000FF"/>
      <w:u w:val="single"/>
    </w:rPr>
  </w:style>
  <w:style w:type="character" w:customStyle="1" w:styleId="style5">
    <w:name w:val="style5"/>
    <w:basedOn w:val="Standaardalinea-lettertype"/>
    <w:rsid w:val="0097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2714">
      <w:bodyDiv w:val="1"/>
      <w:marLeft w:val="0"/>
      <w:marRight w:val="0"/>
      <w:marTop w:val="0"/>
      <w:marBottom w:val="0"/>
      <w:divBdr>
        <w:top w:val="none" w:sz="0" w:space="0" w:color="auto"/>
        <w:left w:val="none" w:sz="0" w:space="0" w:color="auto"/>
        <w:bottom w:val="none" w:sz="0" w:space="0" w:color="auto"/>
        <w:right w:val="none" w:sz="0" w:space="0" w:color="auto"/>
      </w:divBdr>
    </w:div>
    <w:div w:id="772893957">
      <w:bodyDiv w:val="1"/>
      <w:marLeft w:val="0"/>
      <w:marRight w:val="0"/>
      <w:marTop w:val="0"/>
      <w:marBottom w:val="0"/>
      <w:divBdr>
        <w:top w:val="none" w:sz="0" w:space="0" w:color="auto"/>
        <w:left w:val="none" w:sz="0" w:space="0" w:color="auto"/>
        <w:bottom w:val="none" w:sz="0" w:space="0" w:color="auto"/>
        <w:right w:val="none" w:sz="0" w:space="0" w:color="auto"/>
      </w:divBdr>
    </w:div>
    <w:div w:id="1820611044">
      <w:bodyDiv w:val="1"/>
      <w:marLeft w:val="0"/>
      <w:marRight w:val="0"/>
      <w:marTop w:val="0"/>
      <w:marBottom w:val="0"/>
      <w:divBdr>
        <w:top w:val="none" w:sz="0" w:space="0" w:color="auto"/>
        <w:left w:val="none" w:sz="0" w:space="0" w:color="auto"/>
        <w:bottom w:val="none" w:sz="0" w:space="0" w:color="auto"/>
        <w:right w:val="none" w:sz="0" w:space="0" w:color="auto"/>
      </w:divBdr>
      <w:divsChild>
        <w:div w:id="131321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94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corporate/pricing/sig.pdf" TargetMode="External"/><Relationship Id="rId3" Type="http://schemas.openxmlformats.org/officeDocument/2006/relationships/settings" Target="settings.xml"/><Relationship Id="rId7" Type="http://schemas.openxmlformats.org/officeDocument/2006/relationships/hyperlink" Target="http://oraclestore.ora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ba-oracle.com/oracle_tips_failover_prices.htm" TargetMode="External"/><Relationship Id="rId5" Type="http://schemas.openxmlformats.org/officeDocument/2006/relationships/hyperlink" Target="http://www.rampant-books.com/book_2004_2_dataguard.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609</Words>
  <Characters>3353</Characters>
  <Application>Microsoft Office Word</Application>
  <DocSecurity>0</DocSecurity>
  <Lines>27</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5</cp:revision>
  <dcterms:created xsi:type="dcterms:W3CDTF">2022-03-03T11:23:00Z</dcterms:created>
  <dcterms:modified xsi:type="dcterms:W3CDTF">2022-03-03T11:28:00Z</dcterms:modified>
</cp:coreProperties>
</file>